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de-riskear"/>
      <w:r>
        <w:t xml:space="preserve">DE-RISKEAR</w:t>
      </w:r>
      <w:bookmarkEnd w:id="20"/>
    </w:p>
    <w:p>
      <w:pPr>
        <w:pStyle w:val="Heading3"/>
      </w:pPr>
      <w:bookmarkStart w:id="21" w:name="Xdeaf4a875f04cf966aec32d12eaa05d66988323"/>
      <w:r>
        <w:t xml:space="preserve">¿Cómo bajamos la incertidumbre de Flavant paso a paso —yendo a fondo en nuestro mercado principal y abriendo otros en paralelo— en el camino al 100x?</w:t>
      </w:r>
      <w:bookmarkEnd w:id="21"/>
    </w:p>
    <w:p>
      <w:pPr>
        <w:pStyle w:val="BlockText"/>
      </w:pPr>
      <w:r>
        <w:t xml:space="preserve">Playbook que acompaña la infografía</w:t>
      </w:r>
      <w:r>
        <w:t xml:space="preserve"> </w:t>
      </w:r>
      <w:r>
        <w:t xml:space="preserve">“</w:t>
      </w:r>
      <w:r>
        <w:t xml:space="preserve">Árbol de decisiones — Flavant (de-risking)</w:t>
      </w:r>
      <w:r>
        <w:t xml:space="preserve">”</w:t>
      </w:r>
      <w:r>
        <w:t xml:space="preserve">. v1.</w:t>
      </w:r>
      <w:r>
        <w:t xml:space="preserve"> </w:t>
      </w:r>
      <w:r>
        <w:rPr>
          <w:i/>
        </w:rPr>
        <w:t xml:space="preserve">El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100x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es un escenario, no una promesa. Las cifras de mercado tienen fuente; el esfuerzo técnico y las probabilidades son hipótesis del equipo a calibrar.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tldr-la-estrategia-en-una-línea"/>
      <w:r>
        <w:t xml:space="preserve">TLDR — la estrategia en una línea</w:t>
      </w:r>
      <w:bookmarkEnd w:id="22"/>
    </w:p>
    <w:p>
      <w:pPr>
        <w:pStyle w:val="FirstParagraph"/>
      </w:pPr>
      <w:r>
        <w:t xml:space="preserve">No somos un solo producto: somos una</w:t>
      </w:r>
      <w:r>
        <w:t xml:space="preserve"> </w:t>
      </w:r>
      <w:r>
        <w:rPr>
          <w:b/>
        </w:rPr>
        <w:t xml:space="preserve">caja de herramientas</w:t>
      </w:r>
      <w:r>
        <w:t xml:space="preserve">. La misma bacteria, cambiando piezas como Legos, puede fabricar varias moléculas. El equol abre la puerta y trae caja; la misma plataforma desbloquea otros mercados.</w:t>
      </w:r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Eje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Qué 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Energía y presupuesto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↧ Profundidad</w:t>
            </w:r>
          </w:p>
        </w:tc>
        <w:tc>
          <w:p>
            <w:pPr>
              <w:pStyle w:val="Compact"/>
              <w:jc w:val="left"/>
            </w:pPr>
            <w:r>
              <w:t xml:space="preserve">Ir a fondo en el mercado principal: menopausia / salud femenina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70%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↦ Amplitud</w:t>
            </w:r>
          </w:p>
        </w:tc>
        <w:tc>
          <w:p>
            <w:pPr>
              <w:pStyle w:val="Compact"/>
              <w:jc w:val="left"/>
            </w:pPr>
            <w:r>
              <w:t xml:space="preserve">Abrir mercados de al lado en paralelo (longevidad, animales) como red de seguridad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20%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Apuestas</w:t>
            </w:r>
          </w:p>
        </w:tc>
        <w:tc>
          <w:p>
            <w:pPr>
              <w:pStyle w:val="Compact"/>
              <w:jc w:val="left"/>
            </w:pPr>
            <w:r>
              <w:t xml:space="preserve">La 2.ª puerta del equol (pelo/próstata) y exploración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10%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para-qué-sirve-este-árbol"/>
      <w:r>
        <w:t xml:space="preserve">1 · Para qué sirve este árbol</w:t>
      </w:r>
      <w:bookmarkEnd w:id="23"/>
    </w:p>
    <w:p>
      <w:pPr>
        <w:pStyle w:val="FirstParagraph"/>
      </w:pPr>
      <w:r>
        <w:t xml:space="preserve">No es un mapa del futuro (el futuro va a viajar por ramas que no dibujamos). Sirve para tres cosas:</w:t>
      </w:r>
      <w:r>
        <w:t xml:space="preserve"> </w:t>
      </w:r>
      <w:r>
        <w:rPr>
          <w:b/>
        </w:rPr>
        <w:t xml:space="preserve">ordenar lo que sabemos</w:t>
      </w:r>
      <w:r>
        <w:t xml:space="preserve">, hacer</w:t>
      </w:r>
      <w:r>
        <w:t xml:space="preserve"> </w:t>
      </w:r>
      <w:r>
        <w:rPr>
          <w:b/>
        </w:rPr>
        <w:t xml:space="preserve">explícito lo que falta probar</w:t>
      </w:r>
      <w:r>
        <w:t xml:space="preserve">, y prepararnos para las preguntas difíciles antes de que lleguen. Su valor está en el proceso de construirlo en equipo, no en</w:t>
      </w:r>
      <w:r>
        <w:t xml:space="preserve"> </w:t>
      </w:r>
      <w:r>
        <w:t xml:space="preserve">“</w:t>
      </w:r>
      <w:r>
        <w:t xml:space="preserve">adivinar</w:t>
      </w:r>
      <w:r>
        <w:t xml:space="preserve">”</w:t>
      </w:r>
      <w:r>
        <w:t xml:space="preserve"> </w:t>
      </w:r>
      <w:r>
        <w:t xml:space="preserve">el camino.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cómo-nos-movemos-faro"/>
      <w:r>
        <w:t xml:space="preserve">2 · Cómo nos movemos (FARO)</w:t>
      </w:r>
      <w:bookmarkEnd w:id="24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Feedback temprano</w:t>
      </w:r>
      <w:r>
        <w:t xml:space="preserve"> </w:t>
      </w:r>
      <w:r>
        <w:t xml:space="preserve">— juntamos evidencia para</w:t>
      </w:r>
      <w:r>
        <w:t xml:space="preserve"> </w:t>
      </w:r>
      <w:r>
        <w:rPr>
          <w:b/>
        </w:rPr>
        <w:t xml:space="preserve">frenar / ajustar / seguir</w:t>
      </w:r>
      <w:r>
        <w:t xml:space="preserve"> </w:t>
      </w:r>
      <w:r>
        <w:t xml:space="preserve">en ciclos cortos.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Avanzar por hitos</w:t>
      </w:r>
      <w:r>
        <w:t xml:space="preserve"> </w:t>
      </w:r>
      <w:r>
        <w:t xml:space="preserve">— cada paso responde una duda concreta antes de gastar de más.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Ambición con los pies en la tierra</w:t>
      </w:r>
      <w:r>
        <w:t xml:space="preserve"> </w:t>
      </w:r>
      <w:r>
        <w:t xml:space="preserve">— un camino principal creíble y, en paralelo, varias puertas abiertas (no dependemos de un solo resultado).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las-etapas-los-hitos-de-de-risking"/>
      <w:r>
        <w:t xml:space="preserve">3 · Las etapas (los hitos de de-risking)</w:t>
      </w:r>
      <w:bookmarkEnd w:id="25"/>
    </w:p>
    <w:p>
      <w:pPr>
        <w:pStyle w:val="FirstParagraph"/>
      </w:pPr>
      <w:r>
        <w:t xml:space="preserve">Cada etapa es una pregunta</w:t>
      </w:r>
      <w:r>
        <w:t xml:space="preserve"> </w:t>
      </w:r>
      <w:r>
        <w:rPr>
          <w:b/>
        </w:rPr>
        <w:t xml:space="preserve">go / no-go</w:t>
      </w:r>
      <w:r>
        <w:t xml:space="preserve">: qué puede pasar (sale bien ✓ / a medias ↻ / no sale ✕) y qué hacemos en cada caso.</w:t>
      </w:r>
    </w:p>
    <w:p>
      <w:pPr>
        <w:pStyle w:val="BodyText"/>
      </w:pPr>
      <w:r>
        <w:rPr>
          <w:b/>
        </w:rPr>
        <w:t xml:space="preserve">Base · la plataforma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Caracterización del producto</w:t>
      </w:r>
      <w:r>
        <w:t xml:space="preserve"> </w:t>
      </w:r>
      <w:r>
        <w:t xml:space="preserve">— ¿es S-equol de verdad y puro (HPLC)? Primer logro para mostrar a inversores.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Producir el equol</w:t>
      </w:r>
      <w:r>
        <w:t xml:space="preserve"> </w:t>
      </w:r>
      <w:r>
        <w:t xml:space="preserve">— ¿buen rendimiento y costo que cierra? (en lab: 8× más rápido, doble rendimiento, 12× más barato que la síntesis química).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Validación a escala piloto (30 L)</w:t>
      </w:r>
      <w:r>
        <w:t xml:space="preserve"> </w:t>
      </w:r>
      <w:r>
        <w:t xml:space="preserve">— ¿mantenemos rendimiento y costo al escalar?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Escalado industrial</w:t>
      </w:r>
      <w:r>
        <w:t xml:space="preserve"> </w:t>
      </w:r>
      <w:r>
        <w:t xml:space="preserve">— ¿costo competitivo a escala?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La pregunta bisagra</w:t>
      </w:r>
      <w:r>
        <w:t xml:space="preserve"> </w:t>
      </w:r>
      <w:r>
        <w:t xml:space="preserve">🔑 — ¿la caja de herramientas hace una 2.ª molécula sin empezar de cero?</w:t>
      </w:r>
      <w:r>
        <w:t xml:space="preserve"> </w:t>
      </w:r>
      <w:r>
        <w:rPr>
          <w:i/>
        </w:rPr>
        <w:t xml:space="preserve">De acá depende todo: si sí, hay plataforma; si no, somos empresa de un solo producto (válida, pero no 100x).</w:t>
      </w:r>
    </w:p>
    <w:p>
      <w:pPr>
        <w:pStyle w:val="FirstParagraph"/>
      </w:pPr>
      <w:r>
        <w:rPr>
          <w:b/>
        </w:rPr>
        <w:t xml:space="preserve">Profundidad · mercado principal (menopausia)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Caja del beachhead</w:t>
      </w:r>
      <w:r>
        <w:t xml:space="preserve"> </w:t>
      </w:r>
      <w:r>
        <w:t xml:space="preserve">— ¿hay demanda B2B2C real (marcas que compran), no solo</w:t>
      </w:r>
      <w:r>
        <w:t xml:space="preserve"> </w:t>
      </w:r>
      <w:r>
        <w:t xml:space="preserve">“</w:t>
      </w:r>
      <w:r>
        <w:t xml:space="preserve">qué interesante</w:t>
      </w:r>
      <w:r>
        <w:t xml:space="preserve">”</w:t>
      </w:r>
      <w:r>
        <w:t xml:space="preserve">?</w:t>
      </w:r>
      <w:r>
        <w:t xml:space="preserve"> </w:t>
      </w:r>
      <w:r>
        <w:rPr>
          <w:i/>
        </w:rPr>
        <w:t xml:space="preserve">(riesgo #1)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2.ª puerta del equol</w:t>
      </w:r>
      <w:r>
        <w:t xml:space="preserve"> </w:t>
      </w:r>
      <w:r>
        <w:t xml:space="preserve">— el mismo equol frena la DHT (pelo / próstata). Opción casi sin costo; mantener como apuesta.</w:t>
      </w:r>
    </w:p>
    <w:p>
      <w:pPr>
        <w:pStyle w:val="FirstParagraph"/>
      </w:pPr>
      <w:r>
        <w:rPr>
          <w:b/>
        </w:rPr>
        <w:t xml:space="preserve">Amplitud · mercados de al lado (en paralelo)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Urolitina A — longevidad</w:t>
      </w:r>
      <w:r>
        <w:t xml:space="preserve"> </w:t>
      </w:r>
      <w:r>
        <w:t xml:space="preserve">— ¿la plataforma la fabrica? Multiplicador de valor.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Enterolactona — corazón</w:t>
      </w:r>
      <w:r>
        <w:t xml:space="preserve"> </w:t>
      </w:r>
      <w:r>
        <w:t xml:space="preserve">— ¿sumamos al menú?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Nutrición animal — caja temprana</w:t>
      </w:r>
      <w:r>
        <w:t xml:space="preserve"> </w:t>
      </w:r>
      <w:r>
        <w:t xml:space="preserve">— ¿arrancamos en paralelo (cerdos) para bancar el I+D humano?</w:t>
      </w:r>
    </w:p>
    <w:p>
      <w:pPr>
        <w:pStyle w:val="FirstParagraph"/>
      </w:pPr>
      <w:r>
        <w:rPr>
          <w:b/>
        </w:rPr>
        <w:t xml:space="preserve">Cierre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Una salida grande (100x)</w:t>
      </w:r>
      <w:r>
        <w:t xml:space="preserve"> </w:t>
      </w:r>
      <w:r>
        <w:t xml:space="preserve">— ¿plataforma × varias moléculas × vendida a marcas × global llega a un exit grande?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Xe5796a3df7785505cd9dae90cd1fe5d4e887f84"/>
      <w:r>
        <w:t xml:space="preserve">4 · Las preguntas que nos pueden hacer (4 categorías)</w:t>
      </w:r>
      <w:bookmarkEnd w:id="26"/>
    </w:p>
    <w:p>
      <w:pPr>
        <w:pStyle w:val="FirstParagraph"/>
      </w:pPr>
      <w:r>
        <w:t xml:space="preserve">Para cada categoría,</w:t>
      </w:r>
      <w:r>
        <w:t xml:space="preserve"> </w:t>
      </w:r>
      <w:r>
        <w:rPr>
          <w:b/>
        </w:rPr>
        <w:t xml:space="preserve">quién puede preguntar</w:t>
      </w:r>
      <w:r>
        <w:t xml:space="preserve">: 🔬 científicos/técnicos · 💼 inversores · 🏭 jugadores de la industria · 🙋 consumidores finales.</w:t>
      </w:r>
    </w:p>
    <w:p>
      <w:pPr>
        <w:pStyle w:val="BodyText"/>
      </w:pPr>
      <w:r>
        <w:rPr>
          <w:b/>
        </w:rPr>
        <w:t xml:space="preserve">MARKET — «Si funciona, ¿qué tan grande puede ser?»</w:t>
      </w:r>
    </w:p>
    <w:p>
      <w:pPr>
        <w:numPr>
          <w:ilvl w:val="0"/>
          <w:numId w:val="1006"/>
        </w:numPr>
        <w:pStyle w:val="Compact"/>
      </w:pPr>
      <w:r>
        <w:t xml:space="preserve">💼 ¿A qué mercado entramos primero y cuál es el TAM serio, con fuente? (menopausia no-hormonal)</w:t>
      </w:r>
    </w:p>
    <w:p>
      <w:pPr>
        <w:numPr>
          <w:ilvl w:val="0"/>
          <w:numId w:val="1006"/>
        </w:numPr>
        <w:pStyle w:val="Compact"/>
      </w:pPr>
      <w:r>
        <w:t xml:space="preserve">💼 ¿La demanda es real o aspiracional? ¿quién paga y por qué ahora?</w:t>
      </w:r>
    </w:p>
    <w:p>
      <w:pPr>
        <w:numPr>
          <w:ilvl w:val="0"/>
          <w:numId w:val="1006"/>
        </w:numPr>
        <w:pStyle w:val="Compact"/>
      </w:pPr>
      <w:r>
        <w:t xml:space="preserve">🙋 ¿El consumidor final entiende el beneficio y pagaría un premium?</w:t>
      </w:r>
    </w:p>
    <w:p>
      <w:pPr>
        <w:numPr>
          <w:ilvl w:val="0"/>
          <w:numId w:val="1006"/>
        </w:numPr>
        <w:pStyle w:val="Compact"/>
      </w:pPr>
      <w:r>
        <w:rPr>
          <w:i/>
        </w:rPr>
        <w:t xml:space="preserve">Criterio:</w:t>
      </w:r>
      <w:r>
        <w:t xml:space="preserve"> </w:t>
      </w:r>
      <w:r>
        <w:t xml:space="preserve">camino a US$100M+ de ingresos recurrentes en ~10 años.</w:t>
      </w:r>
    </w:p>
    <w:p>
      <w:pPr>
        <w:pStyle w:val="FirstParagraph"/>
      </w:pPr>
      <w:r>
        <w:rPr>
          <w:b/>
        </w:rPr>
        <w:t xml:space="preserve">TECH — «¿Alguien más en el mundo puede hacer esto? ¿Es tuya la IP?»</w:t>
      </w:r>
    </w:p>
    <w:p>
      <w:pPr>
        <w:numPr>
          <w:ilvl w:val="0"/>
          <w:numId w:val="1007"/>
        </w:numPr>
        <w:pStyle w:val="Compact"/>
      </w:pPr>
      <w:r>
        <w:t xml:space="preserve">🔬 ¿La reprogramación del chasis es modular de verdad? ¿cuántas enzimas/pasos y cuánto tiempo para la 2.ª molécula?</w:t>
      </w:r>
    </w:p>
    <w:p>
      <w:pPr>
        <w:numPr>
          <w:ilvl w:val="0"/>
          <w:numId w:val="1007"/>
        </w:numPr>
        <w:pStyle w:val="Compact"/>
      </w:pPr>
      <w:r>
        <w:t xml:space="preserve">💼 Defensibilidad: ¿qué nos hace inimitables más allá del costo?</w:t>
      </w:r>
    </w:p>
    <w:p>
      <w:pPr>
        <w:numPr>
          <w:ilvl w:val="0"/>
          <w:numId w:val="1007"/>
        </w:numPr>
        <w:pStyle w:val="Compact"/>
      </w:pPr>
      <w:r>
        <w:t xml:space="preserve">💼 Límites de la ciencia: ¿dónde se rompe la tolerancia al O₂? ¿qué vías NO sirven? ¿qué supuesto, si cae, tira el plan?</w:t>
      </w:r>
    </w:p>
    <w:p>
      <w:pPr>
        <w:numPr>
          <w:ilvl w:val="0"/>
          <w:numId w:val="1007"/>
        </w:numPr>
        <w:pStyle w:val="Compact"/>
      </w:pPr>
      <w:r>
        <w:t xml:space="preserve">🔬 Titers/rendimiento hoy vs. objetivo; ¿qué se rompe al escalar?</w:t>
      </w:r>
    </w:p>
    <w:p>
      <w:pPr>
        <w:numPr>
          <w:ilvl w:val="0"/>
          <w:numId w:val="1007"/>
        </w:numPr>
        <w:pStyle w:val="Compact"/>
      </w:pPr>
      <w:r>
        <w:t xml:space="preserve">💼 ¿Tenemos la IP? (cesión firmada + provisional antes de divulgar)</w:t>
      </w:r>
    </w:p>
    <w:p>
      <w:pPr>
        <w:numPr>
          <w:ilvl w:val="0"/>
          <w:numId w:val="1007"/>
        </w:numPr>
        <w:pStyle w:val="Compact"/>
      </w:pPr>
      <w:r>
        <w:rPr>
          <w:i/>
        </w:rPr>
        <w:t xml:space="preserve">Criterio:</w:t>
      </w:r>
      <w:r>
        <w:t xml:space="preserve"> </w:t>
      </w:r>
      <w:r>
        <w:t xml:space="preserve">“</w:t>
      </w:r>
      <w:r>
        <w:t xml:space="preserve">los mejores del mundo en X</w:t>
      </w:r>
      <w:r>
        <w:t xml:space="preserve">”</w:t>
      </w:r>
      <w:r>
        <w:t xml:space="preserve">, IP defensible y escalable.</w:t>
      </w:r>
    </w:p>
    <w:p>
      <w:pPr>
        <w:pStyle w:val="FirstParagraph"/>
      </w:pPr>
      <w:r>
        <w:rPr>
          <w:b/>
        </w:rPr>
        <w:t xml:space="preserve">TEAM — «¿El equipo es flexible, abierto y tiene ambición? ¿2 cofounders full-time?»</w:t>
      </w:r>
    </w:p>
    <w:p>
      <w:pPr>
        <w:numPr>
          <w:ilvl w:val="0"/>
          <w:numId w:val="1008"/>
        </w:numPr>
        <w:pStyle w:val="Compact"/>
      </w:pPr>
      <w:r>
        <w:t xml:space="preserve">💼 ¿Hay ≥2 cofounders full-time? ¿científico/a founder full-time?</w:t>
      </w:r>
    </w:p>
    <w:p>
      <w:pPr>
        <w:numPr>
          <w:ilvl w:val="0"/>
          <w:numId w:val="1008"/>
        </w:numPr>
        <w:pStyle w:val="Compact"/>
      </w:pPr>
      <w:r>
        <w:t xml:space="preserve">💼 ¿Roles claros de quién decide qué? (ver playbook de gobernanza DECIDIR)</w:t>
      </w:r>
    </w:p>
    <w:p>
      <w:pPr>
        <w:numPr>
          <w:ilvl w:val="0"/>
          <w:numId w:val="1008"/>
        </w:numPr>
        <w:pStyle w:val="Compact"/>
      </w:pPr>
      <w:r>
        <w:t xml:space="preserve">🔬 Redundancia: ¿la técnica core no depende de una sola persona?</w:t>
      </w:r>
    </w:p>
    <w:p>
      <w:pPr>
        <w:numPr>
          <w:ilvl w:val="0"/>
          <w:numId w:val="1008"/>
        </w:numPr>
        <w:pStyle w:val="Compact"/>
      </w:pPr>
      <w:r>
        <w:rPr>
          <w:i/>
        </w:rPr>
        <w:t xml:space="preserve">Criterio:</w:t>
      </w:r>
      <w:r>
        <w:t xml:space="preserve"> </w:t>
      </w:r>
      <w:r>
        <w:t xml:space="preserve">científico/a part-time con &gt;10% del cap table = señal de alerta.</w:t>
      </w:r>
    </w:p>
    <w:p>
      <w:pPr>
        <w:pStyle w:val="FirstParagraph"/>
      </w:pPr>
      <w:r>
        <w:rPr>
          <w:b/>
        </w:rPr>
        <w:t xml:space="preserve">TRACTION — «¿Qué tan rápido al mercado y hay clientes tempranos?»</w:t>
      </w:r>
    </w:p>
    <w:p>
      <w:pPr>
        <w:numPr>
          <w:ilvl w:val="0"/>
          <w:numId w:val="1009"/>
        </w:numPr>
        <w:pStyle w:val="Compact"/>
      </w:pPr>
      <w:r>
        <w:t xml:space="preserve">🏭 ¿Hay LOIs con precio y volumen? ¿formuladores/marcas que compran?</w:t>
      </w:r>
    </w:p>
    <w:p>
      <w:pPr>
        <w:numPr>
          <w:ilvl w:val="0"/>
          <w:numId w:val="1009"/>
        </w:numPr>
        <w:pStyle w:val="Compact"/>
      </w:pPr>
      <w:r>
        <w:t xml:space="preserve">🏭 ¿Qué spec/cantidad necesita la industria (validado con ellos)?</w:t>
      </w:r>
    </w:p>
    <w:p>
      <w:pPr>
        <w:numPr>
          <w:ilvl w:val="0"/>
          <w:numId w:val="1009"/>
        </w:numPr>
        <w:pStyle w:val="Compact"/>
      </w:pPr>
      <w:r>
        <w:t xml:space="preserve">💼 ¿Contratos de I+D pagos antes del seed?</w:t>
      </w:r>
    </w:p>
    <w:p>
      <w:pPr>
        <w:numPr>
          <w:ilvl w:val="0"/>
          <w:numId w:val="1009"/>
        </w:numPr>
        <w:pStyle w:val="Compact"/>
      </w:pPr>
      <w:r>
        <w:t xml:space="preserve">🙋 ¿Hay señales de demanda del consumidor final (interés, pre-órdenes)?</w:t>
      </w:r>
    </w:p>
    <w:p>
      <w:pPr>
        <w:numPr>
          <w:ilvl w:val="0"/>
          <w:numId w:val="1009"/>
        </w:numPr>
        <w:pStyle w:val="Compact"/>
      </w:pPr>
      <w:r>
        <w:rPr>
          <w:i/>
        </w:rPr>
        <w:t xml:space="preserve">Criterio:</w:t>
      </w:r>
      <w:r>
        <w:t xml:space="preserve"> </w:t>
      </w:r>
      <w:r>
        <w:t xml:space="preserve">tracción cada vez más exigente; LOIs con precio y volumen.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X76b1026e9b99ff5d43f2c0552c7f27619ca74c6"/>
      <w:r>
        <w:t xml:space="preserve">5 · Mapa de supuestos (para llenar entre todos)</w:t>
      </w:r>
      <w:bookmarkEnd w:id="27"/>
    </w:p>
    <w:p>
      <w:pPr>
        <w:pStyle w:val="FirstParagraph"/>
      </w:pPr>
      <w:r>
        <w:t xml:space="preserve">Eje vertical = importancia; eje horizontal = qué tan seguros estamos. Lo</w:t>
      </w:r>
      <w:r>
        <w:t xml:space="preserve"> </w:t>
      </w:r>
      <w:r>
        <w:rPr>
          <w:b/>
        </w:rPr>
        <w:t xml:space="preserve">importante + que falta probar</w:t>
      </w:r>
      <w:r>
        <w:t xml:space="preserve"> </w:t>
      </w:r>
      <w:r>
        <w:t xml:space="preserve">es lo que hay que validar primero.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Validar primero (importante + falta probar):</w:t>
      </w:r>
      <w:r>
        <w:t xml:space="preserve"> </w:t>
      </w:r>
      <w:r>
        <w:t xml:space="preserve">¿las marcas compran de verdad? · ¿el chasis hace otra molécula a buen costo? · ¿el costo baja al escalar (30 L)? · ¿está protegido para que no nos copien?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Cubierto (importante + ya sabemos):</w:t>
      </w:r>
      <w:r>
        <w:t xml:space="preserve"> </w:t>
      </w:r>
      <w:r>
        <w:t xml:space="preserve">química redox + tolerancia al O₂; equol medido por HPLC (8× / doble rendimiento); hay mercados grandes con fuente; ya pasó con una molécula parecida.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Dejar como opción (menos urgente + falta probar):</w:t>
      </w:r>
      <w:r>
        <w:t xml:space="preserve"> </w:t>
      </w:r>
      <w:r>
        <w:t xml:space="preserve">2.ª puerta del equol (pelo/próstata); enterolactona; NMN (traba regulatoria).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Contexto (menos urgente + ya sabemos):</w:t>
      </w:r>
      <w:r>
        <w:t xml:space="preserve"> </w:t>
      </w:r>
      <w:r>
        <w:t xml:space="preserve">la categoría plataforma crece fuerte (viento de cola, no es lo que nos diferencia).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Xfd848e8946e58a1f985a32b4f480f55102e19e4"/>
      <w:r>
        <w:t xml:space="preserve">6 · Plan de validación — por mercado priorizado</w:t>
      </w:r>
      <w:bookmarkEnd w:id="28"/>
    </w:p>
    <w:p>
      <w:pPr>
        <w:pStyle w:val="FirstParagraph"/>
      </w:pPr>
      <w:r>
        <w:t xml:space="preserve">Por cada mercado, 3+ jugadores</w:t>
      </w:r>
      <w:r>
        <w:t xml:space="preserve"> </w:t>
      </w:r>
      <w:r>
        <w:rPr>
          <w:b/>
        </w:rPr>
        <w:t xml:space="preserve">ordenados por menor esfuerzo de contacto</w:t>
      </w:r>
      <w:r>
        <w:t xml:space="preserve"> </w:t>
      </w:r>
      <w:r>
        <w:t xml:space="preserve">(cercanía Iberoamérica primero). Son candidatos a confirmar con el equipo.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Profundidad · Menopausia:</w:t>
      </w:r>
      <w:r>
        <w:t xml:space="preserve"> </w:t>
      </w:r>
      <w:r>
        <w:t xml:space="preserve">Gador (AR) · Eurofarma (BR) · Genomma Lab (MX) · Tecnoquímicas/Procaps (CO) · Uriach–Aquilea (ES).</w:t>
      </w:r>
      <w:r>
        <w:t xml:space="preserve"> </w:t>
      </w:r>
      <w:r>
        <w:rPr>
          <w:b/>
        </w:rPr>
        <w:t xml:space="preserve">Buena señal:</w:t>
      </w:r>
      <w:r>
        <w:t xml:space="preserve"> </w:t>
      </w:r>
      <w:r>
        <w:t xml:space="preserve">una LOI.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Amplitud · Longevidad:</w:t>
      </w:r>
      <w:r>
        <w:t xml:space="preserve"> </w:t>
      </w:r>
      <w:r>
        <w:t xml:space="preserve">Gador/Lab. Bagó (AR) · Essential Nutrition (BR) · Puravida (BR) · Tecnoquímicas (CO) · Monteloeder–SuanNutra (ES).</w:t>
      </w:r>
      <w:r>
        <w:t xml:space="preserve"> </w:t>
      </w:r>
      <w:r>
        <w:rPr>
          <w:b/>
        </w:rPr>
        <w:t xml:space="preserve">Buena señal:</w:t>
      </w:r>
      <w:r>
        <w:t xml:space="preserve"> </w:t>
      </w:r>
      <w:r>
        <w:t xml:space="preserve">carta de interés / co-desarrollo.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Amplitud · Nutrición animal:</w:t>
      </w:r>
      <w:r>
        <w:t xml:space="preserve"> </w:t>
      </w:r>
      <w:r>
        <w:t xml:space="preserve">Vetanco (AR · alianza INTA) · Biogénesis Bagó (AR) · Ourofino (BR) · Premex (CO) · Bioibérica (ES).</w:t>
      </w:r>
      <w:r>
        <w:t xml:space="preserve"> </w:t>
      </w:r>
      <w:r>
        <w:rPr>
          <w:b/>
        </w:rPr>
        <w:t xml:space="preserve">Buena señal:</w:t>
      </w:r>
      <w:r>
        <w:t xml:space="preserve"> </w:t>
      </w:r>
      <w:r>
        <w:t xml:space="preserve">pre-acuerdo o piloto pago.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X7659d12e8b0e060a5542aaa3c9d8fe0c6bd83e9"/>
      <w:r>
        <w:t xml:space="preserve">7 · Roadmap de propiedad intelectual (atado a los hitos de inversión)</w:t>
      </w:r>
      <w:bookmarkEnd w:id="29"/>
    </w:p>
    <w:p>
      <w:pPr>
        <w:numPr>
          <w:ilvl w:val="0"/>
          <w:numId w:val="1012"/>
        </w:numPr>
        <w:pStyle w:val="Compact"/>
      </w:pPr>
      <w:r>
        <w:rPr>
          <w:b/>
        </w:rPr>
        <w:t xml:space="preserve">Pre-seed (sprint):</w:t>
      </w:r>
      <w:r>
        <w:t xml:space="preserve"> </w:t>
      </w:r>
      <w:r>
        <w:t xml:space="preserve">todos firman</w:t>
      </w:r>
      <w:r>
        <w:t xml:space="preserve"> </w:t>
      </w:r>
      <w:r>
        <w:rPr>
          <w:b/>
        </w:rPr>
        <w:t xml:space="preserve">cesión de IP</w:t>
      </w:r>
      <w:r>
        <w:t xml:space="preserve">; invention disclosure de los puntos</w:t>
      </w:r>
      <w:r>
        <w:t xml:space="preserve"> </w:t>
      </w:r>
      <w:r>
        <w:t xml:space="preserve">“</w:t>
      </w:r>
      <w:r>
        <w:t xml:space="preserve">puerta</w:t>
      </w:r>
      <w:r>
        <w:t xml:space="preserve">”</w:t>
      </w:r>
      <w:r>
        <w:t xml:space="preserve">;</w:t>
      </w:r>
      <w:r>
        <w:t xml:space="preserve"> </w:t>
      </w:r>
      <w:r>
        <w:rPr>
          <w:b/>
        </w:rPr>
        <w:t xml:space="preserve">provisional</w:t>
      </w:r>
      <w:r>
        <w:t xml:space="preserve"> </w:t>
      </w:r>
      <w:r>
        <w:t xml:space="preserve">de lo central ANTES de pitch/demo público; matriz patente vs. secreto.</w:t>
      </w:r>
      <w:r>
        <w:t xml:space="preserve"> </w:t>
      </w:r>
      <w:r>
        <w:rPr>
          <w:i/>
        </w:rPr>
        <w:t xml:space="preserve">(~US$3–10k)</w:t>
      </w:r>
    </w:p>
    <w:p>
      <w:pPr>
        <w:numPr>
          <w:ilvl w:val="0"/>
          <w:numId w:val="1012"/>
        </w:numPr>
        <w:pStyle w:val="Compact"/>
      </w:pPr>
      <w:r>
        <w:rPr>
          <w:b/>
        </w:rPr>
        <w:t xml:space="preserve">Seed:</w:t>
      </w:r>
      <w:r>
        <w:t xml:space="preserve"> </w:t>
      </w:r>
      <w:r>
        <w:t xml:space="preserve">no-provisional + PCT (12 meses); FTO lite (IA + Google Patents) de 3–5 competidores; definir países (</w:t>
      </w:r>
      <w:r>
        <w:rPr>
          <w:b/>
        </w:rPr>
        <w:t xml:space="preserve">⚠ Argentina no está en PCT</w:t>
      </w:r>
      <w:r>
        <w:t xml:space="preserve"> </w:t>
      </w:r>
      <w:r>
        <w:t xml:space="preserve">→ directo a 12 meses).</w:t>
      </w:r>
      <w:r>
        <w:t xml:space="preserve"> </w:t>
      </w:r>
      <w:r>
        <w:rPr>
          <w:i/>
        </w:rPr>
        <w:t xml:space="preserve">(no-provisional US ~US$20k + PCT)</w:t>
      </w:r>
    </w:p>
    <w:p>
      <w:pPr>
        <w:numPr>
          <w:ilvl w:val="0"/>
          <w:numId w:val="1012"/>
        </w:numPr>
        <w:pStyle w:val="Compact"/>
      </w:pPr>
      <w:r>
        <w:rPr>
          <w:b/>
        </w:rPr>
        <w:t xml:space="preserve">Serie A:</w:t>
      </w:r>
      <w:r>
        <w:t xml:space="preserve"> </w:t>
      </w:r>
      <w:r>
        <w:t xml:space="preserve">continuations (más claims); fases nacionales clave (Europa, etc.); landscape documentado.</w:t>
      </w:r>
    </w:p>
    <w:p>
      <w:pPr>
        <w:numPr>
          <w:ilvl w:val="0"/>
          <w:numId w:val="1012"/>
        </w:numPr>
        <w:pStyle w:val="Compact"/>
      </w:pPr>
      <w:r>
        <w:rPr>
          <w:b/>
        </w:rPr>
        <w:t xml:space="preserve">Serie B+ / pre-comercial:</w:t>
      </w:r>
      <w:r>
        <w:t xml:space="preserve"> </w:t>
      </w:r>
      <w:r>
        <w:t xml:space="preserve">FTO formal antes de lanzar; escalonar patentes (forma, composición, dosis, modo de uso); licencias.</w:t>
      </w:r>
    </w:p>
    <w:p>
      <w:pPr>
        <w:pStyle w:val="FirstParagraph"/>
      </w:pPr>
      <w:r>
        <w:rPr>
          <w:b/>
        </w:rPr>
        <w:t xml:space="preserve">Qué proteger en Flavant (el moat):</w:t>
      </w:r>
      <w:r>
        <w:t xml:space="preserve"> </w:t>
      </w:r>
      <w:r>
        <w:t xml:space="preserve">el conocimiento de qué metabolitos valen + la tolerancia al oxígeno (no el costo bajo). Patentar cepas ingenierizadas, vías de síntesis, biosensores y el</w:t>
      </w:r>
      <w:r>
        <w:t xml:space="preserve"> </w:t>
      </w:r>
      <w:r>
        <w:t xml:space="preserve">“</w:t>
      </w:r>
      <w:r>
        <w:t xml:space="preserve">modo de uso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Aliados e instituciones — clarificar el vínculo:</w:t>
      </w:r>
      <w:r>
        <w:t xml:space="preserve"> </w:t>
      </w:r>
      <w:r>
        <w:t xml:space="preserve">Cecilia Ortiz (co-founder, PhD — Institut Pasteur de Montevideo, Ing. de Proteínas · Universidad ORT), Guillermo Litvins (co-founder, MSc — Universidad ORT, fi365), ATGen (UY · desarrollo industrial/GMP), CNB-CSIC (España · soporte científico). Preguntas a resolver:</w:t>
      </w:r>
      <w:r>
        <w:t xml:space="preserve"> </w:t>
      </w:r>
      <w:r>
        <w:rPr>
          <w:b/>
        </w:rPr>
        <w:t xml:space="preserve">contribución y vínculo</w:t>
      </w:r>
      <w:r>
        <w:t xml:space="preserve"> </w:t>
      </w:r>
      <w:r>
        <w:t xml:space="preserve">(qué aporta cada uno y bajo qué figura) ·</w:t>
      </w:r>
      <w:r>
        <w:t xml:space="preserve"> </w:t>
      </w:r>
      <w:r>
        <w:rPr>
          <w:b/>
        </w:rPr>
        <w:t xml:space="preserve">dueño de la IP</w:t>
      </w:r>
      <w:r>
        <w:t xml:space="preserve"> </w:t>
      </w:r>
      <w:r>
        <w:t xml:space="preserve">(empresa vs. institución; IP previa embebida) ·</w:t>
      </w:r>
      <w:r>
        <w:t xml:space="preserve"> </w:t>
      </w:r>
      <w:r>
        <w:rPr>
          <w:b/>
        </w:rPr>
        <w:t xml:space="preserve">derechos para monetizar</w:t>
      </w:r>
      <w:r>
        <w:t xml:space="preserve"> </w:t>
      </w:r>
      <w:r>
        <w:t xml:space="preserve">(licencia/cesión con explotación comercial, exclusividad, regalías) ·</w:t>
      </w:r>
      <w:r>
        <w:t xml:space="preserve"> </w:t>
      </w:r>
      <w:r>
        <w:rPr>
          <w:b/>
        </w:rPr>
        <w:t xml:space="preserve">dedicación + cesión</w:t>
      </w:r>
      <w:r>
        <w:t xml:space="preserve"> </w:t>
      </w:r>
      <w:r>
        <w:t xml:space="preserve">firmada.</w:t>
      </w:r>
    </w:p>
    <w:p>
      <w:pPr>
        <w:pStyle w:val="BlockText"/>
      </w:pPr>
      <w:r>
        <w:t xml:space="preserve">⚖️ Lo de IP es orientativo, no es asesoría legal — confirmar con un/a abogado/a de patentes.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foco"/>
      <w:r>
        <w:t xml:space="preserve">FOCO</w:t>
      </w:r>
      <w:bookmarkEnd w:id="30"/>
    </w:p>
    <w:p>
      <w:pPr>
        <w:pStyle w:val="FirstParagraph"/>
      </w:pPr>
      <w:r>
        <w:t xml:space="preserve">Cada decisión se toma al nivel y a la velocidad correctos: convertimos la</w:t>
      </w:r>
      <w:r>
        <w:t xml:space="preserve"> </w:t>
      </w:r>
      <w:r>
        <w:rPr>
          <w:b/>
        </w:rPr>
        <w:t xml:space="preserve">incertidumbre en riesgo controlado</w:t>
      </w:r>
      <w:r>
        <w:t xml:space="preserve"> </w:t>
      </w:r>
      <w:r>
        <w:t xml:space="preserve">(sabemos qué validar y en qué orden). El árbol funciona si nos ayuda a</w:t>
      </w:r>
      <w:r>
        <w:t xml:space="preserve"> </w:t>
      </w:r>
      <w:r>
        <w:rPr>
          <w:b/>
        </w:rPr>
        <w:t xml:space="preserve">frenar lo que no va, doblar la apuesta en lo que sí, y mantener varias puertas abiertas</w:t>
      </w:r>
      <w:r>
        <w:t xml:space="preserve"> </w:t>
      </w:r>
      <w:r>
        <w:t xml:space="preserve">— no si</w:t>
      </w:r>
      <w:r>
        <w:t xml:space="preserve"> </w:t>
      </w:r>
      <w:r>
        <w:t xml:space="preserve">“</w:t>
      </w:r>
      <w:r>
        <w:t xml:space="preserve">acierta</w:t>
      </w:r>
      <w:r>
        <w:t xml:space="preserve">”</w:t>
      </w:r>
      <w:r>
        <w:t xml:space="preserve"> </w:t>
      </w:r>
      <w:r>
        <w:t xml:space="preserve">el futuro.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Esqueleto reutilizable: verbo + pregunta (portada DE-RISKEAR) → estrategia (Profundidad/Amplitud + 70-20-10) → FOCO + FARO. Acompaña a la infografía del mismo nombre. Paleta Next Steps Lab.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6">
    <w:nsid w:val="47261bad"/>
    <w:multiLevelType w:val="multilevel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8">
    <w:nsid w:val="b3cbbdee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1">
    <w:nsid w:val="4fbe019a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4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5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2026-06-18T18:06:49Z</dcterms:created>
  <dcterms:modified xsi:type="dcterms:W3CDTF">2026-06-18T18:06:49Z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