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Playbook</w:t>
      </w:r>
      <w:r>
        <w:t xml:space="preserve"> </w:t>
      </w:r>
      <w:r>
        <w:t xml:space="preserve">—</w:t>
      </w:r>
      <w:r>
        <w:t xml:space="preserve"> </w:t>
      </w:r>
      <w:r>
        <w:t xml:space="preserve">Benchmark</w:t>
      </w:r>
      <w:r>
        <w:t xml:space="preserve"> </w:t>
      </w:r>
      <w:r>
        <w:t xml:space="preserve">·</w:t>
      </w:r>
      <w:r>
        <w:t xml:space="preserve"> </w:t>
      </w:r>
      <w:r>
        <w:t xml:space="preserve">Flavant</w:t>
      </w:r>
    </w:p>
    <w:bookmarkStart w:id="27" w:name="pg"/>
    <w:p>
      <w:pPr>
        <w:pStyle w:val="FirstParagraph"/>
      </w:pPr>
      <w:r>
        <w:t xml:space="preserve">Playbook · Flavant (Equoli) · Benchmark</w:t>
      </w:r>
    </w:p>
    <w:p>
      <w:pPr>
        <w:pStyle w:val="Heading1"/>
      </w:pPr>
      <w:bookmarkStart w:id="20" w:name="cómo-defendemos-por-qué-ganamos"/>
      <w:r>
        <w:t xml:space="preserve">Cómo defendemos por qué ganamos</w:t>
      </w:r>
      <w:bookmarkEnd w:id="20"/>
    </w:p>
    <w:p>
      <w:pPr>
        <w:pStyle w:val="FirstParagraph"/>
      </w:pPr>
      <w:r>
        <w:t xml:space="preserve">El manual para encuadrar el diferencial frente al incumbente — honesto y a prueba de inversor. Basado en el doc de Validación del pitch del Data Room.</w:t>
      </w:r>
    </w:p>
    <w:p>
      <w:pPr>
        <w:pStyle w:val="Heading2"/>
      </w:pPr>
      <w:bookmarkStart w:id="21" w:name="propósito"/>
      <w:r>
        <w:t xml:space="preserve">1</w:t>
      </w:r>
      <w:r>
        <w:t xml:space="preserve"> </w:t>
      </w:r>
      <w:r>
        <w:t xml:space="preserve">Propósito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Mostrar por qué Flavant gana</w:t>
      </w:r>
      <w:r>
        <w:t xml:space="preserve"> </w:t>
      </w:r>
      <w:r>
        <w:rPr>
          <w:b/>
        </w:rPr>
        <w:t xml:space="preserve">sin liderar por costo</w:t>
      </w:r>
      <w:r>
        <w:t xml:space="preserve"> </w:t>
      </w:r>
      <w:r>
        <w:t xml:space="preserve">y</w:t>
      </w:r>
      <w:r>
        <w:t xml:space="preserve"> </w:t>
      </w:r>
      <w:r>
        <w:rPr>
          <w:b/>
        </w:rPr>
        <w:t xml:space="preserve">sin afirmaciones que un inversor rompe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Convertir el benchmark en la prueba del foso real:</w:t>
      </w:r>
      <w:r>
        <w:t xml:space="preserve"> </w:t>
      </w:r>
      <w:r>
        <w:rPr>
          <w:b/>
        </w:rPr>
        <w:t xml:space="preserve">chasis reprogramable + biosensores + saber qué metabolitos del microbioma valen</w:t>
      </w:r>
      <w:r>
        <w:t xml:space="preserve">.</w:t>
      </w:r>
    </w:p>
    <w:p>
      <w:pPr>
        <w:pStyle w:val="Heading2"/>
      </w:pPr>
      <w:bookmarkStart w:id="22" w:name="principios"/>
      <w:r>
        <w:t xml:space="preserve">2</w:t>
      </w:r>
      <w:r>
        <w:t xml:space="preserve"> </w:t>
      </w:r>
      <w:r>
        <w:t xml:space="preserve">Principios</w:t>
      </w:r>
      <w:bookmarkEnd w:id="22"/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Otsuka ya produce S-equol a escala</w:t>
      </w:r>
      <w:r>
        <w:t xml:space="preserve"> </w:t>
      </w:r>
      <w:r>
        <w:t xml:space="preserve">(Equelle, 2014; cepa natural Lactococcus, GMP, GRAS).</w:t>
      </w:r>
      <w:r>
        <w:t xml:space="preserve"> </w:t>
      </w:r>
      <w:r>
        <w:rPr>
          <w:b/>
        </w:rPr>
        <w:t xml:space="preserve">No decir “nadie lo produce”.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Fermentación + GRAS = requisitos de entrada</w:t>
      </w:r>
      <w:r>
        <w:t xml:space="preserve">, no diferenciales (Otsuka también los tiene).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El foso real:</w:t>
      </w:r>
      <w:r>
        <w:t xml:space="preserve"> </w:t>
      </w:r>
      <w:r>
        <w:t xml:space="preserve">cepa de ingeniería</w:t>
      </w:r>
      <w:r>
        <w:t xml:space="preserve"> </w:t>
      </w:r>
      <w:r>
        <w:rPr>
          <w:b/>
        </w:rPr>
        <w:t xml:space="preserve">reprogramable</w:t>
      </w:r>
      <w:r>
        <w:t xml:space="preserve"> </w:t>
      </w:r>
      <w:r>
        <w:t xml:space="preserve">(no natural) + biosensores (datos lote a lote) + el saber de qué metabolitos valen + O₂-tolerancia de vías intolerantes.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El costo (≈11x) es proyección y prueba de credibilidad</w:t>
      </w:r>
      <w:r>
        <w:t xml:space="preserve">, no el diferencial defendible. No pitchear costo.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Distinguir probado de proyectado:</w:t>
      </w:r>
      <w:r>
        <w:t xml:space="preserve"> </w:t>
      </w:r>
      <w:r>
        <w:t xml:space="preserve">8x velocidad y 2.5x titers son lab (HECHO); costo es proyección a escala.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O₂-tolerancia:</w:t>
      </w:r>
      <w:r>
        <w:t xml:space="preserve"> </w:t>
      </w:r>
      <w:r>
        <w:t xml:space="preserve">validar contra quién aplica (Otsuka usa Lactococcus, no anaerobio estricto) y documentar IP.</w:t>
      </w:r>
    </w:p>
    <w:p>
      <w:pPr>
        <w:pStyle w:val="Heading2"/>
      </w:pPr>
      <w:bookmarkStart w:id="23" w:name="participantes"/>
      <w:r>
        <w:t xml:space="preserve">3</w:t>
      </w:r>
      <w:r>
        <w:t xml:space="preserve"> </w:t>
      </w:r>
      <w:r>
        <w:t xml:space="preserve">Participantes</w:t>
      </w:r>
      <w:bookmarkEnd w:id="23"/>
    </w:p>
    <w:p>
      <w:pPr>
        <w:pStyle w:val="FirstParagraph"/>
      </w:pPr>
      <w:r>
        <w:t xml:space="preserve">Ceci &amp; Guille</w:t>
      </w:r>
    </w:p>
    <w:p>
      <w:pPr>
        <w:pStyle w:val="BodyText"/>
      </w:pPr>
      <w:r>
        <w:t xml:space="preserve">Aportan el</w:t>
      </w:r>
      <w:r>
        <w:t xml:space="preserve"> </w:t>
      </w:r>
      <w:r>
        <w:rPr>
          <w:b/>
        </w:rPr>
        <w:t xml:space="preserve">número duro</w:t>
      </w:r>
      <w:r>
        <w:t xml:space="preserve"> </w:t>
      </w:r>
      <w:r>
        <w:t xml:space="preserve">que un competidor no puede mostrar (g/L, ciclos de estabilidad, costo/kg a 30 L) y confirman FTO/patentes.</w:t>
      </w:r>
    </w:p>
    <w:p>
      <w:pPr>
        <w:pStyle w:val="BodyText"/>
      </w:pPr>
      <w:r>
        <w:t xml:space="preserve">Jota (negocio)</w:t>
      </w:r>
    </w:p>
    <w:p>
      <w:pPr>
        <w:pStyle w:val="BodyText"/>
      </w:pPr>
      <w:r>
        <w:t xml:space="preserve">Elige el eje del diferencial, encuadra el mensaje y responde las objeciones de inversor.</w:t>
      </w:r>
    </w:p>
    <w:p>
      <w:pPr>
        <w:pStyle w:val="Heading2"/>
      </w:pPr>
      <w:bookmarkStart w:id="24" w:name="estructuras-artefactos"/>
      <w:r>
        <w:t xml:space="preserve">4</w:t>
      </w:r>
      <w:r>
        <w:t xml:space="preserve"> </w:t>
      </w:r>
      <w:r>
        <w:t xml:space="preserve">Estructuras (artefactos)</w:t>
      </w:r>
      <w:bookmarkEnd w:id="24"/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Tabla comparativa</w:t>
      </w:r>
      <w:r>
        <w:t xml:space="preserve"> </w:t>
      </w:r>
      <w:r>
        <w:t xml:space="preserve">— Otsuka (cepa natural, un solo producto) vs Flavant (chasis de ingeniería reprogramable + biosensores).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“Money slide”</w:t>
      </w:r>
      <w:r>
        <w:t xml:space="preserve"> </w:t>
      </w:r>
      <w:r>
        <w:t xml:space="preserve">de plataforma (S-equol = prueba; pipeline = upside).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Banco de datos con fuentes</w:t>
      </w:r>
      <w:r>
        <w:t xml:space="preserve"> </w:t>
      </w:r>
      <w:r>
        <w:t xml:space="preserve">+ apéndice de citas (claim de yield “más del doble del mayor reportado”).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FTO / patentes</w:t>
      </w:r>
      <w:r>
        <w:t xml:space="preserve"> </w:t>
      </w:r>
      <w:r>
        <w:t xml:space="preserve">— estado de cepa, ruta y biosensores propios vs terceros (Otsuka/Slackia).</w:t>
      </w:r>
    </w:p>
    <w:p>
      <w:pPr>
        <w:pStyle w:val="Heading2"/>
      </w:pPr>
      <w:bookmarkStart w:id="25" w:name="procesos-clave"/>
      <w:r>
        <w:t xml:space="preserve">5</w:t>
      </w:r>
      <w:r>
        <w:t xml:space="preserve"> </w:t>
      </w:r>
      <w:r>
        <w:t xml:space="preserve">Procesos clave</w:t>
      </w:r>
      <w:bookmarkEnd w:id="25"/>
    </w:p>
    <w:p>
      <w:pPr>
        <w:pStyle w:val="FirstParagraph"/>
      </w:pPr>
      <w:r>
        <w:t xml:space="preserve">Elegir el eje del diferencial</w:t>
      </w:r>
    </w:p>
    <w:p>
      <w:pPr>
        <w:numPr>
          <w:ilvl w:val="0"/>
          <w:numId w:val="1005"/>
        </w:numPr>
        <w:pStyle w:val="Compact"/>
      </w:pPr>
      <w:r>
        <w:t xml:space="preserve">Ruta de ingeniería industrializada + chasis reprogramable (el más verificado).</w:t>
      </w:r>
    </w:p>
    <w:p>
      <w:pPr>
        <w:numPr>
          <w:ilvl w:val="0"/>
          <w:numId w:val="1005"/>
        </w:numPr>
        <w:pStyle w:val="Compact"/>
      </w:pPr>
      <w:r>
        <w:t xml:space="preserve">Biosensores / foso de datos que crece lote a lote.</w:t>
      </w:r>
    </w:p>
    <w:p>
      <w:pPr>
        <w:numPr>
          <w:ilvl w:val="0"/>
          <w:numId w:val="1005"/>
        </w:numPr>
        <w:pStyle w:val="Compact"/>
      </w:pPr>
      <w:r>
        <w:t xml:space="preserve">O₂-tolerancia (validar contra quién aplica).</w:t>
      </w:r>
    </w:p>
    <w:p>
      <w:pPr>
        <w:numPr>
          <w:ilvl w:val="0"/>
          <w:numId w:val="1005"/>
        </w:numPr>
        <w:pStyle w:val="Compact"/>
      </w:pPr>
      <w:r>
        <w:t xml:space="preserve">Soberanía de chasis (FTO).</w:t>
      </w:r>
    </w:p>
    <w:p>
      <w:pPr>
        <w:pStyle w:val="FirstParagraph"/>
      </w:pPr>
      <w:r>
        <w:t xml:space="preserve">Responder las 3 críticas</w:t>
      </w:r>
    </w:p>
    <w:p>
      <w:pPr>
        <w:numPr>
          <w:ilvl w:val="0"/>
          <w:numId w:val="1006"/>
        </w:numPr>
        <w:pStyle w:val="Compact"/>
      </w:pPr>
      <w:r>
        <w:t xml:space="preserve">“Es solo un nutracéutico” → es la prueba de que la fábrica funciona; somos plataforma.</w:t>
      </w:r>
    </w:p>
    <w:p>
      <w:pPr>
        <w:numPr>
          <w:ilvl w:val="0"/>
          <w:numId w:val="1006"/>
        </w:numPr>
        <w:pStyle w:val="Compact"/>
      </w:pPr>
      <w:r>
        <w:t xml:space="preserve">“El costo no es problema” → no pitchear costo; pitchear plataforma reprogramable.</w:t>
      </w:r>
    </w:p>
    <w:p>
      <w:pPr>
        <w:numPr>
          <w:ilvl w:val="0"/>
          <w:numId w:val="1006"/>
        </w:numPr>
        <w:pStyle w:val="Compact"/>
      </w:pPr>
      <w:r>
        <w:t xml:space="preserve">“Cualquiera lo hace” → la ruta es pública desde 2022 y nadie la industrializó; el único que lo produce usa cepa natural.</w:t>
      </w:r>
    </w:p>
    <w:p>
      <w:pPr>
        <w:pStyle w:val="Heading2"/>
      </w:pPr>
      <w:bookmarkStart w:id="26" w:name="prácticas-clave"/>
      <w:r>
        <w:t xml:space="preserve">6</w:t>
      </w:r>
      <w:r>
        <w:t xml:space="preserve"> </w:t>
      </w:r>
      <w:r>
        <w:t xml:space="preserve">Prácticas clave</w:t>
      </w:r>
      <w:bookmarkEnd w:id="26"/>
    </w:p>
    <w:p>
      <w:pPr>
        <w:numPr>
          <w:ilvl w:val="0"/>
          <w:numId w:val="1007"/>
        </w:numPr>
        <w:pStyle w:val="Compact"/>
      </w:pPr>
      <w:r>
        <w:rPr>
          <w:b/>
        </w:rPr>
        <w:t xml:space="preserve">Nombrar a Otsuka explícito</w:t>
      </w:r>
      <w:r>
        <w:t xml:space="preserve"> </w:t>
      </w:r>
      <w:r>
        <w:t xml:space="preserve">— la honestidad da credibilidad.</w:t>
      </w:r>
    </w:p>
    <w:p>
      <w:pPr>
        <w:numPr>
          <w:ilvl w:val="0"/>
          <w:numId w:val="1007"/>
        </w:numPr>
        <w:pStyle w:val="Compact"/>
      </w:pPr>
      <w:r>
        <w:rPr>
          <w:b/>
        </w:rPr>
        <w:t xml:space="preserve">No liderar con costo</w:t>
      </w:r>
      <w:r>
        <w:t xml:space="preserve"> </w:t>
      </w:r>
      <w:r>
        <w:t xml:space="preserve">— liderar con reprogramabilidad + datos.</w:t>
      </w:r>
    </w:p>
    <w:p>
      <w:pPr>
        <w:numPr>
          <w:ilvl w:val="0"/>
          <w:numId w:val="1008"/>
        </w:numPr>
        <w:pStyle w:val="Compact"/>
      </w:pPr>
      <w:r>
        <w:rPr>
          <w:b/>
        </w:rPr>
        <w:t xml:space="preserve">Usar el mercado del problema</w:t>
      </w:r>
      <w:r>
        <w:t xml:space="preserve"> </w:t>
      </w:r>
      <w:r>
        <w:t xml:space="preserve">(menopausia no hormonal $3B→7.5B), no el del ingrediente puro (chico por la propia restricción de oferta).</w:t>
      </w:r>
    </w:p>
    <w:p>
      <w:pPr>
        <w:numPr>
          <w:ilvl w:val="0"/>
          <w:numId w:val="1008"/>
        </w:numPr>
        <w:pStyle w:val="Compact"/>
      </w:pPr>
      <w:r>
        <w:rPr>
          <w:b/>
        </w:rPr>
        <w:t xml:space="preserve">Tener el número duro a mano</w:t>
      </w:r>
      <w:r>
        <w:t xml:space="preserve"> </w:t>
      </w:r>
      <w:r>
        <w:t xml:space="preserve">antes de cualquier reunión.</w:t>
      </w:r>
    </w:p>
    <w:p>
      <w:pPr>
        <w:pStyle w:val="FirstParagraph"/>
      </w:pPr>
      <w:r>
        <w:rPr>
          <w:b/>
        </w:rPr>
        <w:t xml:space="preserve">Antes de usar afuera:</w:t>
      </w:r>
      <w:r>
        <w:t xml:space="preserve"> </w:t>
      </w:r>
      <w:r>
        <w:t xml:space="preserve">conseguir el número duro (g/L, costo/kg a 30 L con el TEA), fijar el % de no-productoras en 75% con fuente, y confirmar FTO. Son los huecos que un inversor ataca primero.</w:t>
      </w:r>
    </w:p>
    <w:p>
      <w:pPr>
        <w:pStyle w:val="BodyText"/>
      </w:pPr>
      <w:r>
        <w:t xml:space="preserve">Fuente: Data Room — Equoli_Validacion_Pitch, Roadmap de moléculas, feedbacks de pitch. Otsuka/Equelle 2014 = HECHO verificado. Cifras 8x/2.5x = lab; 11x = proyección. Pieza hermana de la infografía “Benchmark — Flavant”.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Playbook — Benchmark · Flavant</dc:title>
  <dc:creator/>
  <dc:language>es</dc:language>
  <cp:keywords/>
  <dcterms:created xsi:type="dcterms:W3CDTF">2026-06-17T20:41:18Z</dcterms:created>
  <dcterms:modified xsi:type="dcterms:W3CDTF">2026-06-17T20:41:18Z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