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playbook-ruta-de-financiamiento-flavant"/>
      <w:r>
        <w:t xml:space="preserve">Playbook — Ruta de Financiamiento (Flavant)</w:t>
      </w:r>
      <w:bookmarkEnd w:id="20"/>
    </w:p>
    <w:p>
      <w:pPr>
        <w:pStyle w:val="Heading3"/>
      </w:pPr>
      <w:bookmarkStart w:id="21" w:name="conectar-antes-de-resolver"/>
      <w:r>
        <w:t xml:space="preserve">“</w:t>
      </w:r>
      <w:r>
        <w:t xml:space="preserve">Conectar antes de resolver</w:t>
      </w:r>
      <w:r>
        <w:t xml:space="preserve">”</w:t>
      </w:r>
      <w:bookmarkEnd w:id="21"/>
    </w:p>
    <w:p>
      <w:pPr>
        <w:pStyle w:val="BlockText"/>
      </w:pPr>
      <w:r>
        <w:t xml:space="preserve">Documento de trabajo. Acompaña a la infografía</w:t>
      </w:r>
      <w:r>
        <w:t xml:space="preserve"> </w:t>
      </w:r>
      <w:r>
        <w:rPr>
          <w:rStyle w:val="VerbatimChar"/>
        </w:rPr>
        <w:t xml:space="preserve">Ruta de Financiamiento — Flavant CONECTAR (Riel lateral).html</w:t>
      </w:r>
      <w:r>
        <w:t xml:space="preserve">.</w:t>
      </w:r>
      <w:r>
        <w:t xml:space="preserve"> </w:t>
      </w:r>
      <w:r>
        <w:rPr>
          <w:b/>
        </w:rPr>
        <w:t xml:space="preserve">Nota de estado:</w:t>
      </w:r>
      <w:r>
        <w:t xml:space="preserve"> </w:t>
      </w:r>
      <w:r>
        <w:t xml:space="preserve">montos, rondas, duraciones y dilución son</w:t>
      </w:r>
      <w:r>
        <w:t xml:space="preserve"> </w:t>
      </w:r>
      <w:r>
        <w:rPr>
          <w:b/>
        </w:rPr>
        <w:t xml:space="preserve">orientativos</w:t>
      </w:r>
      <w:r>
        <w:t xml:space="preserve"> </w:t>
      </w:r>
      <w:r>
        <w:t xml:space="preserve">(definir con equipo y asesores). Los fondos, grants, plataformas y eventos son</w:t>
      </w:r>
      <w:r>
        <w:t xml:space="preserve"> </w:t>
      </w:r>
      <w:r>
        <w:rPr>
          <w:b/>
        </w:rPr>
        <w:t xml:space="preserve">jugadores reales</w:t>
      </w:r>
      <w:r>
        <w:t xml:space="preserve"> </w:t>
      </w:r>
      <w:r>
        <w:t xml:space="preserve">del sector (verificado jun-2026) y representan</w:t>
      </w:r>
      <w:r>
        <w:t xml:space="preserve"> </w:t>
      </w:r>
      <w:r>
        <w:rPr>
          <w:b/>
        </w:rPr>
        <w:t xml:space="preserve">objetivos a calificar, no compromisos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el-principio"/>
      <w:r>
        <w:t xml:space="preserve">0. El principio</w:t>
      </w:r>
      <w:bookmarkEnd w:id="22"/>
    </w:p>
    <w:p>
      <w:pPr>
        <w:pStyle w:val="FirstParagraph"/>
      </w:pPr>
      <w:r>
        <w:rPr>
          <w:b/>
        </w:rPr>
        <w:t xml:space="preserve">Conectar antes de resolver.</w:t>
      </w:r>
      <w:r>
        <w:t xml:space="preserve"> </w:t>
      </w:r>
      <w:r>
        <w:t xml:space="preserve">La relación se construye</w:t>
      </w:r>
      <w:r>
        <w:t xml:space="preserve"> </w:t>
      </w:r>
      <w:r>
        <w:rPr>
          <w:i/>
        </w:rPr>
        <w:t xml:space="preserve">antes</w:t>
      </w:r>
      <w:r>
        <w:t xml:space="preserve"> </w:t>
      </w:r>
      <w:r>
        <w:t xml:space="preserve">del pedido. Primero aportamos valor y generamos confianza; el capital es la consecuencia, no la apertura de la conversación.</w:t>
      </w:r>
    </w:p>
    <w:p>
      <w:pPr>
        <w:pStyle w:val="BodyText"/>
      </w:pPr>
      <w:r>
        <w:rPr>
          <w:b/>
        </w:rPr>
        <w:t xml:space="preserve">Pregunta-faro (regla de oro):</w:t>
      </w:r>
      <w:r>
        <w:t xml:space="preserve"> </w:t>
      </w:r>
      <w:r>
        <w:t xml:space="preserve">antes de pedir capital, preguntá:</w:t>
      </w:r>
      <w:r>
        <w:t xml:space="preserve"> </w:t>
      </w:r>
      <w:r>
        <w:rPr>
          <w:i/>
        </w:rPr>
        <w:t xml:space="preserve">¿hay algún fondo internacional o grant al que podríamos aplicar sin perder el foco? ¿Qué personas clave están interesadas en este tema?</w:t>
      </w:r>
    </w:p>
    <w:p>
      <w:pPr>
        <w:pStyle w:val="BodyText"/>
      </w:pPr>
      <w:r>
        <w:t xml:space="preserve">El orden</w:t>
      </w:r>
      <w:r>
        <w:t xml:space="preserve"> </w:t>
      </w:r>
      <w:r>
        <w:rPr>
          <w:b/>
        </w:rPr>
        <w:t xml:space="preserve">Friend → Fun → Fund</w:t>
      </w:r>
      <w:r>
        <w:t xml:space="preserve"> </w:t>
      </w:r>
      <w:r>
        <w:t xml:space="preserve">maximiza confianza y minimiza dilución: cada capa hace más fácil — y más barata — la siguiente ronda.</w:t>
      </w:r>
    </w:p>
    <w:p>
      <w:pPr>
        <w:pStyle w:val="BodyText"/>
      </w:pPr>
      <w:r>
        <w:rPr>
          <w:b/>
        </w:rPr>
        <w:t xml:space="preserve">FARO — cómo nos movemos:</w:t>
      </w:r>
      <w:r>
        <w:t xml:space="preserve"> </w:t>
      </w:r>
      <w:r>
        <w:t xml:space="preserve">dar primero · warm &gt; cold · no dilutivo primero.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las-3-capas-del-capital"/>
      <w:r>
        <w:t xml:space="preserve">1. Las 3 capas del capital</w:t>
      </w:r>
      <w:bookmarkEnd w:id="23"/>
    </w:p>
    <w:tbl>
      <w:tblPr>
        <w:tblStyle w:val="Table"/>
        <w:tblW w:type="pct" w:w="4999.999999999999"/>
        <w:tblLook w:firstRow="1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Capa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Qué buscamos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 quién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Qué damos / pedimos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Hito / señal de éxito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Equity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1 · Friendraising</w:t>
            </w:r>
          </w:p>
        </w:tc>
        <w:tc>
          <w:p>
            <w:pPr>
              <w:pStyle w:val="Compact"/>
              <w:jc w:val="left"/>
            </w:pPr>
            <w:r>
              <w:t xml:space="preserve">Vínculos, credibilidad, aprendizaje</w:t>
            </w:r>
          </w:p>
        </w:tc>
        <w:tc>
          <w:p>
            <w:pPr>
              <w:pStyle w:val="Compact"/>
              <w:jc w:val="left"/>
            </w:pPr>
            <w:r>
              <w:t xml:space="preserve">Mentores, founders, KOLs, ecosistema (GridX/ORT), aliados de RIL</w:t>
            </w:r>
          </w:p>
        </w:tc>
        <w:tc>
          <w:p>
            <w:pPr>
              <w:pStyle w:val="Compact"/>
              <w:jc w:val="left"/>
            </w:pPr>
            <w:r>
              <w:t xml:space="preserve">Damos valor e intros; pedimos consejo y</w:t>
            </w:r>
            <w:r>
              <w:t xml:space="preserve"> </w:t>
            </w:r>
            <w:r>
              <w:rPr>
                <w:b/>
              </w:rPr>
              <w:t xml:space="preserve">warm intros</w:t>
            </w:r>
          </w:p>
        </w:tc>
        <w:tc>
          <w:p>
            <w:pPr>
              <w:pStyle w:val="Compact"/>
              <w:jc w:val="left"/>
            </w:pPr>
            <w:r>
              <w:t xml:space="preserve">Red activa: advisors, intros calificadas</w:t>
            </w:r>
          </w:p>
        </w:tc>
        <w:tc>
          <w:p>
            <w:pPr>
              <w:pStyle w:val="Compact"/>
              <w:jc w:val="left"/>
            </w:pPr>
            <w:r>
              <w:t xml:space="preserve">No cede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2 · Funraising</w:t>
            </w:r>
          </w:p>
        </w:tc>
        <w:tc>
          <w:p>
            <w:pPr>
              <w:pStyle w:val="Compact"/>
              <w:jc w:val="left"/>
            </w:pPr>
            <w:r>
              <w:t xml:space="preserve">Capital para I+D y validación</w:t>
            </w:r>
            <w:r>
              <w:t xml:space="preserve"> </w:t>
            </w:r>
            <w:r>
              <w:rPr>
                <w:b/>
              </w:rPr>
              <w:t xml:space="preserve">sin ceder propiedad</w:t>
            </w:r>
          </w:p>
        </w:tc>
        <w:tc>
          <w:p>
            <w:pPr>
              <w:pStyle w:val="Compact"/>
              <w:jc w:val="left"/>
            </w:pPr>
            <w:r>
              <w:t xml:space="preserve">Grants, agencias, premios, aceleradoras equity-free, corporate venture</w:t>
            </w:r>
          </w:p>
        </w:tc>
        <w:tc>
          <w:p>
            <w:pPr>
              <w:pStyle w:val="Compact"/>
              <w:jc w:val="left"/>
            </w:pPr>
            <w:r>
              <w:t xml:space="preserve">Damos impacto y reporting; pedimos co-financiar el hito</w:t>
            </w:r>
          </w:p>
        </w:tc>
        <w:tc>
          <w:p>
            <w:pPr>
              <w:pStyle w:val="Compact"/>
              <w:jc w:val="left"/>
            </w:pPr>
            <w:r>
              <w:t xml:space="preserve">1er grant/premio + hito científico financiado</w:t>
            </w:r>
          </w:p>
        </w:tc>
        <w:tc>
          <w:p>
            <w:pPr>
              <w:pStyle w:val="Compact"/>
              <w:jc w:val="left"/>
            </w:pPr>
            <w:r>
              <w:t xml:space="preserve">No cede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3 · Fundraising</w:t>
            </w:r>
          </w:p>
        </w:tc>
        <w:tc>
          <w:p>
            <w:pPr>
              <w:pStyle w:val="Compact"/>
              <w:jc w:val="left"/>
            </w:pPr>
            <w:r>
              <w:t xml:space="preserve">Capital para escalar (a cambio de equity)</w:t>
            </w:r>
          </w:p>
        </w:tc>
        <w:tc>
          <w:p>
            <w:pPr>
              <w:pStyle w:val="Compact"/>
              <w:jc w:val="left"/>
            </w:pPr>
            <w:r>
              <w:t xml:space="preserve">VCs de deeptech/synbio/femtech-longevidad (intl + LatAm)</w:t>
            </w:r>
          </w:p>
        </w:tc>
        <w:tc>
          <w:p>
            <w:pPr>
              <w:pStyle w:val="Compact"/>
              <w:jc w:val="left"/>
            </w:pPr>
            <w:r>
              <w:t xml:space="preserve">Damos tracción y caso de retorno; pedimos cheque + acompañamiento</w:t>
            </w:r>
          </w:p>
        </w:tc>
        <w:tc>
          <w:p>
            <w:pPr>
              <w:pStyle w:val="Compact"/>
              <w:jc w:val="left"/>
            </w:pPr>
            <w:r>
              <w:t xml:space="preserve">Ronda comprometida con lead</w:t>
            </w:r>
          </w:p>
        </w:tc>
        <w:tc>
          <w:p>
            <w:pPr>
              <w:pStyle w:val="Compact"/>
              <w:jc w:val="left"/>
            </w:pPr>
            <w:r>
              <w:t xml:space="preserve">Cede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X2e7ad050437008e6bb7d799e2d323f35fd3ed09"/>
      <w:r>
        <w:t xml:space="preserve">2. Rondas de inversión (línea de tiempo · plan 10–15 años)</w:t>
      </w:r>
      <w:bookmarkEnd w:id="24"/>
    </w:p>
    <w:tbl>
      <w:tblPr>
        <w:tblStyle w:val="Table"/>
        <w:tblW w:type="pct" w:w="4999.999999999999"/>
        <w:tblLook w:firstRow="1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/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Pre-Seed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Seed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Serie 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Serie B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Serie C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Serie D / Pre-IPO o Licencia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Capital objetivo</w:t>
            </w:r>
          </w:p>
        </w:tc>
        <w:tc>
          <w:p>
            <w:pPr>
              <w:pStyle w:val="Compact"/>
              <w:jc w:val="left"/>
            </w:pPr>
            <w:r>
              <w:t xml:space="preserve">$250K–1.5M</w:t>
            </w:r>
          </w:p>
        </w:tc>
        <w:tc>
          <w:p>
            <w:pPr>
              <w:pStyle w:val="Compact"/>
              <w:jc w:val="left"/>
            </w:pPr>
            <w:r>
              <w:t xml:space="preserve">$2M–7M</w:t>
            </w:r>
          </w:p>
        </w:tc>
        <w:tc>
          <w:p>
            <w:pPr>
              <w:pStyle w:val="Compact"/>
              <w:jc w:val="left"/>
            </w:pPr>
            <w:r>
              <w:t xml:space="preserve">$10M–25M</w:t>
            </w:r>
          </w:p>
        </w:tc>
        <w:tc>
          <w:p>
            <w:pPr>
              <w:pStyle w:val="Compact"/>
              <w:jc w:val="left"/>
            </w:pPr>
            <w:r>
              <w:t xml:space="preserve">$30M–60M</w:t>
            </w:r>
          </w:p>
        </w:tc>
        <w:tc>
          <w:p>
            <w:pPr>
              <w:pStyle w:val="Compact"/>
              <w:jc w:val="left"/>
            </w:pPr>
            <w:r>
              <w:t xml:space="preserve">$60M–120M</w:t>
            </w:r>
          </w:p>
        </w:tc>
        <w:tc>
          <w:p>
            <w:pPr>
              <w:pStyle w:val="Compact"/>
              <w:jc w:val="left"/>
            </w:pPr>
            <w:r>
              <w:t xml:space="preserve">$120M+ / licencia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Horizonte</w:t>
            </w:r>
          </w:p>
        </w:tc>
        <w:tc>
          <w:p>
            <w:pPr>
              <w:pStyle w:val="Compact"/>
              <w:jc w:val="left"/>
            </w:pPr>
            <w:r>
              <w:t xml:space="preserve">Año 0–1</w:t>
            </w:r>
          </w:p>
        </w:tc>
        <w:tc>
          <w:p>
            <w:pPr>
              <w:pStyle w:val="Compact"/>
              <w:jc w:val="left"/>
            </w:pPr>
            <w:r>
              <w:t xml:space="preserve">Año 1–3</w:t>
            </w:r>
          </w:p>
        </w:tc>
        <w:tc>
          <w:p>
            <w:pPr>
              <w:pStyle w:val="Compact"/>
              <w:jc w:val="left"/>
            </w:pPr>
            <w:r>
              <w:t xml:space="preserve">Año 3–5</w:t>
            </w:r>
          </w:p>
        </w:tc>
        <w:tc>
          <w:p>
            <w:pPr>
              <w:pStyle w:val="Compact"/>
              <w:jc w:val="left"/>
            </w:pPr>
            <w:r>
              <w:t xml:space="preserve">Año 5–8</w:t>
            </w:r>
          </w:p>
        </w:tc>
        <w:tc>
          <w:p>
            <w:pPr>
              <w:pStyle w:val="Compact"/>
              <w:jc w:val="left"/>
            </w:pPr>
            <w:r>
              <w:t xml:space="preserve">Año 8–12</w:t>
            </w:r>
          </w:p>
        </w:tc>
        <w:tc>
          <w:p>
            <w:pPr>
              <w:pStyle w:val="Compact"/>
              <w:jc w:val="left"/>
            </w:pPr>
            <w:r>
              <w:t xml:space="preserve">Año 12–15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Para abrir la ronda</w:t>
            </w:r>
          </w:p>
        </w:tc>
        <w:tc>
          <w:p>
            <w:pPr>
              <w:pStyle w:val="Compact"/>
              <w:jc w:val="left"/>
            </w:pPr>
            <w:r>
              <w:t xml:space="preserve">Equipo + S-equol (HPLC ✓) + IP O₂ en trámite</w:t>
            </w:r>
          </w:p>
        </w:tc>
        <w:tc>
          <w:p>
            <w:pPr>
              <w:pStyle w:val="Compact"/>
              <w:jc w:val="left"/>
            </w:pPr>
            <w:r>
              <w:t xml:space="preserve">Costo de lab probado (8×/2×/12×) + 1ª LOI</w:t>
            </w:r>
          </w:p>
        </w:tc>
        <w:tc>
          <w:p>
            <w:pPr>
              <w:pStyle w:val="Compact"/>
              <w:jc w:val="left"/>
            </w:pPr>
            <w:r>
              <w:t xml:space="preserve">Costo a escala + tracción + 2ª molécula (Legos)</w:t>
            </w:r>
          </w:p>
        </w:tc>
        <w:tc>
          <w:p>
            <w:pPr>
              <w:pStyle w:val="Compact"/>
              <w:jc w:val="left"/>
            </w:pPr>
            <w:r>
              <w:t xml:space="preserve">Ventas recurrentes multi-país + portfolio</w:t>
            </w:r>
          </w:p>
        </w:tc>
        <w:tc>
          <w:p>
            <w:pPr>
              <w:pStyle w:val="Compact"/>
              <w:jc w:val="left"/>
            </w:pPr>
            <w:r>
              <w:t xml:space="preserve">Liderazgo regional + unit economics</w:t>
            </w:r>
          </w:p>
        </w:tc>
        <w:tc>
          <w:p>
            <w:pPr>
              <w:pStyle w:val="Compact"/>
              <w:jc w:val="left"/>
            </w:pPr>
            <w:r>
              <w:t xml:space="preserve">Plataforma global con varias moléculas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Uso del capital</w:t>
            </w:r>
          </w:p>
        </w:tc>
        <w:tc>
          <w:p>
            <w:pPr>
              <w:pStyle w:val="Compact"/>
              <w:jc w:val="left"/>
            </w:pPr>
            <w:r>
              <w:t xml:space="preserve">Validar plataforma+equol · IP O₂ · estándares NMR</w:t>
            </w:r>
          </w:p>
        </w:tc>
        <w:tc>
          <w:p>
            <w:pPr>
              <w:pStyle w:val="Compact"/>
              <w:jc w:val="left"/>
            </w:pPr>
            <w:r>
              <w:t xml:space="preserve">Escalado piloto 30 L · GMP-ready · 1er producto + registro AR/UY</w:t>
            </w:r>
          </w:p>
        </w:tc>
        <w:tc>
          <w:p>
            <w:pPr>
              <w:pStyle w:val="Compact"/>
              <w:jc w:val="left"/>
            </w:pPr>
            <w:r>
              <w:t xml:space="preserve">Mercado LatAm · manufactura a escala · 2ª molécula</w:t>
            </w:r>
          </w:p>
        </w:tc>
        <w:tc>
          <w:p>
            <w:pPr>
              <w:pStyle w:val="Compact"/>
              <w:jc w:val="left"/>
            </w:pPr>
            <w:r>
              <w:t xml:space="preserve">Planta industrial · expansión regional · 3ª molécula</w:t>
            </w:r>
          </w:p>
        </w:tc>
        <w:tc>
          <w:p>
            <w:pPr>
              <w:pStyle w:val="Compact"/>
              <w:jc w:val="left"/>
            </w:pPr>
            <w:r>
              <w:t xml:space="preserve">Expansión global · comercial · pipeline</w:t>
            </w:r>
          </w:p>
        </w:tc>
        <w:tc>
          <w:p>
            <w:pPr>
              <w:pStyle w:val="Compact"/>
              <w:jc w:val="left"/>
            </w:pPr>
            <w:r>
              <w:t xml:space="preserve">Consolidación / pre-IPO o licenciar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Checklist hito siguiente</w:t>
            </w:r>
          </w:p>
        </w:tc>
        <w:tc>
          <w:p>
            <w:pPr>
              <w:pStyle w:val="Compact"/>
              <w:jc w:val="left"/>
            </w:pPr>
            <w:r>
              <w:t xml:space="preserve">☐ NMR ☐ plan piloto ☐ 1ª LOI</w:t>
            </w:r>
          </w:p>
        </w:tc>
        <w:tc>
          <w:p>
            <w:pPr>
              <w:pStyle w:val="Compact"/>
              <w:jc w:val="left"/>
            </w:pPr>
            <w:r>
              <w:t xml:space="preserve">☐ costo a escala ☐ primeras ventas ☐ LOIs c/precio</w:t>
            </w:r>
          </w:p>
        </w:tc>
        <w:tc>
          <w:p>
            <w:pPr>
              <w:pStyle w:val="Compact"/>
              <w:jc w:val="left"/>
            </w:pPr>
            <w:r>
              <w:t xml:space="preserve">☐ tracción multi-país ☐ pipeline</w:t>
            </w:r>
          </w:p>
        </w:tc>
        <w:tc>
          <w:p>
            <w:pPr>
              <w:pStyle w:val="Compact"/>
              <w:jc w:val="left"/>
            </w:pPr>
            <w:r>
              <w:t xml:space="preserve">☐ liderazgo regional ☐ márgenes</w:t>
            </w:r>
          </w:p>
        </w:tc>
        <w:tc>
          <w:p>
            <w:pPr>
              <w:pStyle w:val="Compact"/>
              <w:jc w:val="left"/>
            </w:pPr>
            <w:r>
              <w:t xml:space="preserve">☐ escala global ☐ opción de salida</w:t>
            </w:r>
          </w:p>
        </w:tc>
        <w:tc>
          <w:p>
            <w:pPr>
              <w:pStyle w:val="Compact"/>
              <w:jc w:val="left"/>
            </w:pPr>
            <w:r>
              <w:t xml:space="preserve">☐ M&amp;A / licencia / IPO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Inversor típico</w:t>
            </w:r>
          </w:p>
        </w:tc>
        <w:tc>
          <w:p>
            <w:pPr>
              <w:pStyle w:val="Compact"/>
              <w:jc w:val="left"/>
            </w:pPr>
            <w:r>
              <w:t xml:space="preserve">Ángeles · Grid Exponential · ANII</w:t>
            </w:r>
          </w:p>
        </w:tc>
        <w:tc>
          <w:p>
            <w:pPr>
              <w:pStyle w:val="Compact"/>
              <w:jc w:val="left"/>
            </w:pPr>
            <w:r>
              <w:t xml:space="preserve">VC deeptech/foodtech LatAm + seed bio</w:t>
            </w:r>
          </w:p>
        </w:tc>
        <w:tc>
          <w:p>
            <w:pPr>
              <w:pStyle w:val="Compact"/>
              <w:jc w:val="left"/>
            </w:pPr>
            <w:r>
              <w:t xml:space="preserve">VC bio/foodtech internacional</w:t>
            </w:r>
          </w:p>
        </w:tc>
        <w:tc>
          <w:p>
            <w:pPr>
              <w:pStyle w:val="Compact"/>
              <w:jc w:val="left"/>
            </w:pPr>
            <w:r>
              <w:t xml:space="preserve">Growth + estratégicos</w:t>
            </w:r>
          </w:p>
        </w:tc>
        <w:tc>
          <w:p>
            <w:pPr>
              <w:pStyle w:val="Compact"/>
              <w:jc w:val="left"/>
            </w:pPr>
            <w:r>
              <w:t xml:space="preserve">Growth global · corporate VC</w:t>
            </w:r>
          </w:p>
        </w:tc>
        <w:tc>
          <w:p>
            <w:pPr>
              <w:pStyle w:val="Compact"/>
              <w:jc w:val="left"/>
            </w:pPr>
            <w:r>
              <w:t xml:space="preserve">PE · estratégicos · pharma/nutra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Xfe4f0e890bb2fb2095b6d0879f3269d16fff7d5"/>
      <w:r>
        <w:t xml:space="preserve">3. Países y jugadores clave — Capa Fundraising (VC / equity)</w:t>
      </w:r>
      <w:bookmarkEnd w:id="25"/>
    </w:p>
    <w:p>
      <w:pPr>
        <w:pStyle w:val="BlockText"/>
      </w:pPr>
      <w:r>
        <w:t xml:space="preserve">Tesis = foco declarado del fondo (orientativo). Objetivos a calificar por encaje de etapa y warm intro.</w:t>
      </w:r>
    </w:p>
    <w:p>
      <w:pPr>
        <w:pStyle w:val="FirstParagraph"/>
      </w:pPr>
      <w:r>
        <w:rPr>
          <w:b/>
        </w:rPr>
        <w:t xml:space="preserve">🇺🇸 EE.UU.:</w:t>
      </w:r>
      <w:r>
        <w:t xml:space="preserve"> </w:t>
      </w:r>
      <w:r>
        <w:t xml:space="preserve">Flagship Pioneering (bioplataformas desde cero) · ARCH Venture Partners (biotech ciencia profunda) · Atlas Venture (seed-led biotech) · SOSV/IndieBio (synbio/biomanufactura) · S2G Ventures (food/ag/bioindustria) · AgFunder (ag/foodtech) · Big Idea Ventures (alt-protein/fermentación) · Lux Capital (deep tech) · FemHealth Ventures (salud femenina) · Avestria Ventures (women’s health &amp; life science).</w:t>
      </w:r>
    </w:p>
    <w:p>
      <w:pPr>
        <w:pStyle w:val="BodyText"/>
      </w:pPr>
      <w:r>
        <w:rPr>
          <w:b/>
        </w:rPr>
        <w:t xml:space="preserve">🇪🇺 Europa:</w:t>
      </w:r>
      <w:r>
        <w:t xml:space="preserve"> </w:t>
      </w:r>
      <w:r>
        <w:t xml:space="preserve">Novo Holdings (life sciences) · Sofinnova Partners (LS + biotech industrial) · Forbion (biotech) · Astanor Ventures (agrifoodtech) · Five Seasons Ventures (food/ag) · PeakBridge VC (foodtech salud/clima) · Capagro (agri/food) · Atlantic Food Labs (foodtech) · Goddess Gaia Ventures (femtech) · CPT Capital (alt-protein).</w:t>
      </w:r>
    </w:p>
    <w:p>
      <w:pPr>
        <w:pStyle w:val="BodyText"/>
      </w:pPr>
      <w:r>
        <w:rPr>
          <w:b/>
        </w:rPr>
        <w:t xml:space="preserve">🇮🇱 Israel:</w:t>
      </w:r>
      <w:r>
        <w:t xml:space="preserve"> </w:t>
      </w:r>
      <w:r>
        <w:t xml:space="preserve">The Kitchen FoodTech Hub (Strauss) · Fresh Start · PeakBridge VC · OurCrowd · JVP · Pitango HealthTech · PICO Venture Partners · Arkin Holdings · Millennium Food-Tech · iAngels.</w:t>
      </w:r>
    </w:p>
    <w:p>
      <w:pPr>
        <w:pStyle w:val="BodyText"/>
      </w:pPr>
      <w:r>
        <w:rPr>
          <w:b/>
        </w:rPr>
        <w:t xml:space="preserve">🌎 LatAm:</w:t>
      </w:r>
      <w:r>
        <w:t xml:space="preserve"> </w:t>
      </w:r>
      <w:r>
        <w:t xml:space="preserve">Grid Exponential (venture builder biotech) · SP Ventures (agri-foodtech) · Draper Cygnus (deeptech latino) · Kaszek · NXTP Ventures · Maya Capital · monashees · Alaya Capital · Fen Ventures (CL) · Indicator Capital (BR).</w:t>
      </w:r>
    </w:p>
    <w:p>
      <w:pPr>
        <w:pStyle w:val="BodyText"/>
      </w:pPr>
      <w:r>
        <w:rPr>
          <w:b/>
        </w:rPr>
        <w:t xml:space="preserve">🌏 Asia:</w:t>
      </w:r>
      <w:r>
        <w:t xml:space="preserve"> </w:t>
      </w:r>
      <w:r>
        <w:t xml:space="preserve">Temasek · EDBI · Vertex Ventures · Qiming Venture Partners · ID Capital · Lever VC · Bits x Bites · GROW (AgFunder) · Beyond Next Ventures · Real Tech Holdings.</w:t>
      </w:r>
    </w:p>
    <w:p>
      <w:pPr>
        <w:pStyle w:val="BodyText"/>
      </w:pPr>
      <w:r>
        <w:rPr>
          <w:b/>
        </w:rPr>
        <w:t xml:space="preserve">🇨🇦 Canadá:</w:t>
      </w:r>
      <w:r>
        <w:t xml:space="preserve"> </w:t>
      </w:r>
      <w:r>
        <w:t xml:space="preserve">Lumira Ventures · CTI Life Sciences · amplitude Ventures · Genesys Capital · BDC Capital · Cycle Capital · Sandpiper Ventures · The51 · Real Ventures · Emmertech.</w:t>
      </w:r>
    </w:p>
    <w:p>
      <w:pPr>
        <w:pStyle w:val="Heading3"/>
      </w:pPr>
      <w:bookmarkStart w:id="26" w:name="X65fe27fc694a197ffac317f4c23c701011bc36a"/>
      <w:r>
        <w:t xml:space="preserve">Capa Funraising — No dilutivo / grants (0% equity)</w:t>
      </w:r>
      <w:bookmarkEnd w:id="26"/>
    </w:p>
    <w:tbl>
      <w:tblPr>
        <w:tblStyle w:val="Table"/>
        <w:tblW w:type="pct" w:w="5000.0"/>
        <w:tblLook w:firstRow="1"/>
      </w:tblPr>
      <w:tblGrid>
        <w:gridCol w:w="1980"/>
        <w:gridCol w:w="1980"/>
        <w:gridCol w:w="1980"/>
        <w:gridCol w:w="19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Programa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Geografía / elegibilidad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Monto orientativo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Vía / nota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ANII</w:t>
            </w:r>
          </w:p>
        </w:tc>
        <w:tc>
          <w:p>
            <w:pPr>
              <w:pStyle w:val="Compact"/>
              <w:jc w:val="left"/>
            </w:pPr>
            <w:r>
              <w:t xml:space="preserve">Uruguay (sede/operación)</w:t>
            </w:r>
          </w:p>
        </w:tc>
        <w:tc>
          <w:p>
            <w:pPr>
              <w:pStyle w:val="Compact"/>
              <w:jc w:val="left"/>
            </w:pPr>
            <w:r>
              <w:t xml:space="preserve">Subsidios I+D</w:t>
            </w:r>
          </w:p>
        </w:tc>
        <w:tc>
          <w:p>
            <w:pPr>
              <w:pStyle w:val="Compact"/>
              <w:jc w:val="left"/>
            </w:pPr>
            <w:r>
              <w:t xml:space="preserve">Encaje directo si hay entidad UY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IDB Lab</w:t>
            </w:r>
          </w:p>
        </w:tc>
        <w:tc>
          <w:p>
            <w:pPr>
              <w:pStyle w:val="Compact"/>
              <w:jc w:val="left"/>
            </w:pPr>
            <w:r>
              <w:t xml:space="preserve">LatAm</w:t>
            </w:r>
          </w:p>
        </w:tc>
        <w:tc>
          <w:p>
            <w:pPr>
              <w:pStyle w:val="Compact"/>
              <w:jc w:val="left"/>
            </w:pPr>
            <w:r>
              <w:t xml:space="preserve">US$0.75M–2M (grants)</w:t>
            </w:r>
          </w:p>
        </w:tc>
        <w:tc>
          <w:p>
            <w:pPr>
              <w:pStyle w:val="Compact"/>
              <w:jc w:val="left"/>
            </w:pPr>
            <w:r>
              <w:t xml:space="preserve">★ warm vía RIL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CAF</w:t>
            </w:r>
          </w:p>
        </w:tc>
        <w:tc>
          <w:p>
            <w:pPr>
              <w:pStyle w:val="Compact"/>
              <w:jc w:val="left"/>
            </w:pPr>
            <w:r>
              <w:t xml:space="preserve">LatAm</w:t>
            </w:r>
          </w:p>
        </w:tc>
        <w:tc>
          <w:p>
            <w:pPr>
              <w:pStyle w:val="Compact"/>
              <w:jc w:val="left"/>
            </w:pPr>
            <w:r>
              <w:t xml:space="preserve">Coop. técnica no reembolsable</w:t>
            </w:r>
          </w:p>
        </w:tc>
        <w:tc>
          <w:p>
            <w:pPr>
              <w:pStyle w:val="Compact"/>
              <w:jc w:val="left"/>
            </w:pPr>
            <w:r>
              <w:t xml:space="preserve">★ warm vía RIL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CORFO</w:t>
            </w:r>
          </w:p>
        </w:tc>
        <w:tc>
          <w:p>
            <w:pPr>
              <w:pStyle w:val="Compact"/>
              <w:jc w:val="left"/>
            </w:pPr>
            <w:r>
              <w:t xml:space="preserve">Chile</w:t>
            </w:r>
          </w:p>
        </w:tc>
        <w:tc>
          <w:p>
            <w:pPr>
              <w:pStyle w:val="Compact"/>
              <w:jc w:val="left"/>
            </w:pPr>
            <w:r>
              <w:t xml:space="preserve">Subsidios I+D · Start-Up Chile</w:t>
            </w:r>
          </w:p>
        </w:tc>
        <w:tc>
          <w:p>
            <w:pPr>
              <w:pStyle w:val="Compact"/>
              <w:jc w:val="left"/>
            </w:pPr>
            <w:r>
              <w:t xml:space="preserve">Requiere operación CL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SBIR / STTR</w:t>
            </w:r>
          </w:p>
        </w:tc>
        <w:tc>
          <w:p>
            <w:pPr>
              <w:pStyle w:val="Compact"/>
              <w:jc w:val="left"/>
            </w:pPr>
            <w:r>
              <w:t xml:space="preserve">EE.UU.</w:t>
            </w:r>
          </w:p>
        </w:tc>
        <w:tc>
          <w:p>
            <w:pPr>
              <w:pStyle w:val="Compact"/>
              <w:jc w:val="left"/>
            </w:pPr>
            <w:r>
              <w:t xml:space="preserve">Ph I ~$0.3M · Ph II ~$1–2M</w:t>
            </w:r>
          </w:p>
        </w:tc>
        <w:tc>
          <w:p>
            <w:pPr>
              <w:pStyle w:val="Compact"/>
              <w:jc w:val="left"/>
            </w:pPr>
            <w:r>
              <w:t xml:space="preserve">Requiere small business US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EIC / Horizon Europe</w:t>
            </w:r>
          </w:p>
        </w:tc>
        <w:tc>
          <w:p>
            <w:pPr>
              <w:pStyle w:val="Compact"/>
              <w:jc w:val="left"/>
            </w:pPr>
            <w:r>
              <w:t xml:space="preserve">UE</w:t>
            </w:r>
          </w:p>
        </w:tc>
        <w:tc>
          <w:p>
            <w:pPr>
              <w:pStyle w:val="Compact"/>
              <w:jc w:val="left"/>
            </w:pPr>
            <w:r>
              <w:t xml:space="preserve">≤ €2.5M (+ blended)</w:t>
            </w:r>
          </w:p>
        </w:tc>
        <w:tc>
          <w:p>
            <w:pPr>
              <w:pStyle w:val="Compact"/>
              <w:jc w:val="left"/>
            </w:pPr>
            <w:r>
              <w:t xml:space="preserve">Requiere entidad UE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Nucleate</w:t>
            </w:r>
          </w:p>
        </w:tc>
        <w:tc>
          <w:p>
            <w:pPr>
              <w:pStyle w:val="Compact"/>
              <w:jc w:val="left"/>
            </w:pPr>
            <w:r>
              <w:t xml:space="preserve">Global/US</w:t>
            </w:r>
          </w:p>
        </w:tc>
        <w:tc>
          <w:p>
            <w:pPr>
              <w:pStyle w:val="Compact"/>
              <w:jc w:val="left"/>
            </w:pPr>
            <w:r>
              <w:t xml:space="preserve">Programa equity-free</w:t>
            </w:r>
          </w:p>
        </w:tc>
        <w:tc>
          <w:p>
            <w:pPr>
              <w:pStyle w:val="Compact"/>
              <w:jc w:val="left"/>
            </w:pPr>
            <w:r>
              <w:t xml:space="preserve">No toma equity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JLABS (J&amp;J)</w:t>
            </w:r>
          </w:p>
        </w:tc>
        <w:tc>
          <w:p>
            <w:pPr>
              <w:pStyle w:val="Compact"/>
              <w:jc w:val="left"/>
            </w:pPr>
            <w:r>
              <w:t xml:space="preserve">Global</w:t>
            </w:r>
          </w:p>
        </w:tc>
        <w:tc>
          <w:p>
            <w:pPr>
              <w:pStyle w:val="Compact"/>
              <w:jc w:val="left"/>
            </w:pPr>
            <w:r>
              <w:t xml:space="preserve">Incubación sin equity</w:t>
            </w:r>
          </w:p>
        </w:tc>
        <w:tc>
          <w:p>
            <w:pPr>
              <w:pStyle w:val="Compact"/>
              <w:jc w:val="left"/>
            </w:pPr>
            <w:r>
              <w:t xml:space="preserve">No equity ni grant directo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UNICEF Femtech Ventures</w:t>
            </w:r>
          </w:p>
        </w:tc>
        <w:tc>
          <w:p>
            <w:pPr>
              <w:pStyle w:val="Compact"/>
              <w:jc w:val="left"/>
            </w:pPr>
            <w:r>
              <w:t xml:space="preserve">Global</w:t>
            </w:r>
          </w:p>
        </w:tc>
        <w:tc>
          <w:p>
            <w:pPr>
              <w:pStyle w:val="Compact"/>
              <w:jc w:val="left"/>
            </w:pPr>
            <w:r>
              <w:t xml:space="preserve">Capital equity-free + mentoría</w:t>
            </w:r>
          </w:p>
        </w:tc>
        <w:tc>
          <w:p>
            <w:pPr>
              <w:pStyle w:val="Compact"/>
              <w:jc w:val="left"/>
            </w:pPr>
            <w:r>
              <w:t xml:space="preserve">Sin equity (encaje equol)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ARPA-H</w:t>
            </w:r>
          </w:p>
        </w:tc>
        <w:tc>
          <w:p>
            <w:pPr>
              <w:pStyle w:val="Compact"/>
              <w:jc w:val="left"/>
            </w:pPr>
            <w:r>
              <w:t xml:space="preserve">EE.UU.</w:t>
            </w:r>
          </w:p>
        </w:tc>
        <w:tc>
          <w:p>
            <w:pPr>
              <w:pStyle w:val="Compact"/>
              <w:jc w:val="left"/>
            </w:pPr>
            <w:r>
              <w:t xml:space="preserve">Grants grandes de salud</w:t>
            </w:r>
          </w:p>
        </w:tc>
        <w:tc>
          <w:p>
            <w:pPr>
              <w:pStyle w:val="Compact"/>
              <w:jc w:val="left"/>
            </w:pPr>
            <w:r>
              <w:t xml:space="preserve">Requiere elegibilidad US</w:t>
            </w:r>
          </w:p>
        </w:tc>
      </w:tr>
    </w:tbl>
    <w:p>
      <w:pPr>
        <w:pStyle w:val="BlockText"/>
      </w:pPr>
      <w:r>
        <w:t xml:space="preserve">★</w:t>
      </w:r>
      <w:r>
        <w:t xml:space="preserve"> </w:t>
      </w:r>
      <w:r>
        <w:rPr>
          <w:b/>
        </w:rPr>
        <w:t xml:space="preserve">Warm intro vía RIL</w:t>
      </w:r>
      <w:r>
        <w:t xml:space="preserve"> </w:t>
      </w:r>
      <w:r>
        <w:t xml:space="preserve">(relaciones existentes): CAF · IDB Lab · Google.org.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eventos-clave"/>
      <w:r>
        <w:t xml:space="preserve">4. Eventos clave</w:t>
      </w:r>
      <w:bookmarkEnd w:id="27"/>
    </w:p>
    <w:p>
      <w:pPr>
        <w:pStyle w:val="Heading3"/>
      </w:pPr>
      <w:bookmarkStart w:id="28" w:name="por-país"/>
      <w:r>
        <w:t xml:space="preserve">Por país</w:t>
      </w:r>
      <w:bookmarkEnd w:id="28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🇺🇸 EE.UU.:</w:t>
      </w:r>
      <w:r>
        <w:t xml:space="preserve"> </w:t>
      </w:r>
      <w:r>
        <w:t xml:space="preserve">JP Morgan Healthcare (ene) · SynBioBeta (may) · Future Food-Tech SF (mar) · BIO International (jun) · Nucleate Activator (anual).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🇪🇺 Europa:</w:t>
      </w:r>
      <w:r>
        <w:t xml:space="preserve"> </w:t>
      </w:r>
      <w:r>
        <w:t xml:space="preserve">Vitafoods Europe (may) · HLTH Europe (jun) · Future Food-Tech Londres (sep) · Bio€quity Europe (oct) · EIT Food/FAN (anual).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🇮🇱 Israel:</w:t>
      </w:r>
      <w:r>
        <w:t xml:space="preserve"> </w:t>
      </w:r>
      <w:r>
        <w:t xml:space="preserve">OurCrowd Global Summit (feb) · FoodTech IL · The Kitchen demo day · Fresh Start demo day · EIT FAN @ Technion.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🌎 LatAm:</w:t>
      </w:r>
      <w:r>
        <w:t xml:space="preserve"> </w:t>
      </w:r>
      <w:r>
        <w:t xml:space="preserve">★ GridX/IGNITE demo days (BA) · ★ Foros IDB Lab/CAF · ANII (UY) · IMS World Congress (Río, sep–oct) · demo days univ./ORT.</w:t>
      </w:r>
    </w:p>
    <w:p>
      <w:pPr>
        <w:pStyle w:val="Heading3"/>
      </w:pPr>
      <w:bookmarkStart w:id="29" w:name="por-mercado-árbol-de-decisiones"/>
      <w:r>
        <w:t xml:space="preserve">Por mercado (árbol de decisiones)</w:t>
      </w:r>
      <w:bookmarkEnd w:id="29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Salud femenina / Menopausia (core):</w:t>
      </w:r>
      <w:r>
        <w:t xml:space="preserve"> </w:t>
      </w:r>
      <w:r>
        <w:t xml:space="preserve">The Menopause Society Annual Meeting (San Diego, oct) · IMS World Congress (Río, sep–oct) · ACOG → KOLs + marcas (LOIs).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Longevidad (urolitina A):</w:t>
      </w:r>
      <w:r>
        <w:t xml:space="preserve"> </w:t>
      </w:r>
      <w:r>
        <w:t xml:space="preserve">Longevity Investors Conference (Gstaad, sep) · ARDD (Copenhague, jun) → inversores + ciencia + partners (Timeline/Nestlé).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Microbiota:</w:t>
      </w:r>
      <w:r>
        <w:t xml:space="preserve"> </w:t>
      </w:r>
      <w:r>
        <w:t xml:space="preserve">Gut Microbiota for Health World Summit (Porto, mar) · Microbiome Movement (Londres, ene) → ciencia + credibilidad.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Nutrición animal / cerdos:</w:t>
      </w:r>
      <w:r>
        <w:t xml:space="preserve"> </w:t>
      </w:r>
      <w:r>
        <w:t xml:space="preserve">World Pork Expo (jun) · IPPE (Atlanta, ene) · EuroTier · Alltech ONE → clientes gut health (dsm-firmenich, Cargill, Alltech).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2ª puerta del equol (pelo/próstata):</w:t>
      </w:r>
      <w:r>
        <w:t xml:space="preserve"> </w:t>
      </w:r>
      <w:r>
        <w:t xml:space="preserve">World Congress for Hair Research · AUA (orientativo).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Cardiovascular (enterolactona):</w:t>
      </w:r>
      <w:r>
        <w:t xml:space="preserve"> </w:t>
      </w:r>
      <w:r>
        <w:t xml:space="preserve">AHA Scientific Sessions (orientativo).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Ingredientes / nutra (clientes):</w:t>
      </w:r>
      <w:r>
        <w:t xml:space="preserve"> </w:t>
      </w:r>
      <w:r>
        <w:t xml:space="preserve">Vitafoods Europe (Barcelona, may) · SupplySide West (Las Vegas, oct) · Fi Europe → formuladores/marcas = compradores (riesgo #1).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del-laboratorio-a-la-consumidora"/>
      <w:r>
        <w:t xml:space="preserve">5. Del laboratorio a la consumidora</w:t>
      </w:r>
      <w:bookmarkEnd w:id="30"/>
    </w:p>
    <w:p>
      <w:pPr>
        <w:pStyle w:val="FirstParagraph"/>
      </w:pPr>
      <w:r>
        <w:t xml:space="preserve">🧫 Plataforma O₂ → 🧪 Equol (HPLC ✓) → ⚗️ Escalado piloto 30 L → 🏭 Industrial → 📋 Registro AR/UY → 🏷️ Marca/formulador → 👩</w:t>
      </w:r>
      <w:r>
        <w:t xml:space="preserve"> </w:t>
      </w:r>
      <w:r>
        <w:rPr>
          <w:b/>
        </w:rPr>
        <w:t xml:space="preserve">Consumidora (mujer en menopausia)</w:t>
      </w:r>
    </w:p>
    <w:p>
      <w:pPr>
        <w:pStyle w:val="Heading3"/>
      </w:pPr>
      <w:bookmarkStart w:id="31" w:name="arquetipos-de-mercado"/>
      <w:r>
        <w:t xml:space="preserve">3 arquetipos de mercado</w:t>
      </w:r>
      <w:bookmarkEnd w:id="31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B2B (ingrediente):</w:t>
      </w:r>
      <w:r>
        <w:t xml:space="preserve"> </w:t>
      </w:r>
      <w:r>
        <w:t xml:space="preserve">vendemos S-equol a formuladores/marcas. Paga la empresa. Ej.: Pharmavite, Bonafide, dsm-firmenich.</w:t>
      </w:r>
      <w:r>
        <w:t xml:space="preserve"> </w:t>
      </w:r>
      <w:r>
        <w:rPr>
          <w:b/>
        </w:rPr>
        <w:t xml:space="preserve">Ahora</w:t>
      </w:r>
      <w:r>
        <w:t xml:space="preserve"> </w:t>
      </w:r>
      <w:r>
        <w:t xml:space="preserve">(core; riesgo #1 = LOIs).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B2B2C (marca partner):</w:t>
      </w:r>
      <w:r>
        <w:t xml:space="preserve"> </w:t>
      </w:r>
      <w:r>
        <w:t xml:space="preserve">ingrediente</w:t>
      </w:r>
      <w:r>
        <w:t xml:space="preserve"> </w:t>
      </w:r>
      <w:r>
        <w:t xml:space="preserve">“</w:t>
      </w:r>
      <w:r>
        <w:t xml:space="preserve">inside</w:t>
      </w:r>
      <w:r>
        <w:t xml:space="preserve">”</w:t>
      </w:r>
      <w:r>
        <w:t xml:space="preserve"> </w:t>
      </w:r>
      <w:r>
        <w:t xml:space="preserve">/ co-branded en producto de una marca. Paga la marca + share. Ej.:</w:t>
      </w:r>
      <w:r>
        <w:t xml:space="preserve"> </w:t>
      </w:r>
      <w:r>
        <w:t xml:space="preserve">“</w:t>
      </w:r>
      <w:r>
        <w:t xml:space="preserve">Equol by Flavant</w:t>
      </w:r>
      <w:r>
        <w:t xml:space="preserve">”</w:t>
      </w:r>
      <w:r>
        <w:t xml:space="preserve">.</w:t>
      </w:r>
      <w:r>
        <w:t xml:space="preserve"> </w:t>
      </w:r>
      <w:r>
        <w:rPr>
          <w:b/>
        </w:rPr>
        <w:t xml:space="preserve">Seed–Serie A.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B2C (marca propia):</w:t>
      </w:r>
      <w:r>
        <w:t xml:space="preserve"> </w:t>
      </w:r>
      <w:r>
        <w:t xml:space="preserve">producto propio directo a la consumidora (D2C). Paga la consumidora.</w:t>
      </w:r>
      <w:r>
        <w:t xml:space="preserve"> </w:t>
      </w:r>
      <w:r>
        <w:rPr>
          <w:b/>
        </w:rPr>
        <w:t xml:space="preserve">Más adelante</w:t>
      </w:r>
      <w:r>
        <w:t xml:space="preserve"> </w:t>
      </w:r>
      <w:r>
        <w:t xml:space="preserve">(mayor margen y data).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X52283f265c6573c0a2486f98da0398ca33062e8"/>
      <w:r>
        <w:t xml:space="preserve">6. Roadmap de relacionamiento (Próximo → Siguiente → Más adelante)</w:t>
      </w:r>
      <w:bookmarkEnd w:id="32"/>
    </w:p>
    <w:tbl>
      <w:tblPr>
        <w:tblStyle w:val="Table"/>
        <w:tblW w:type="pct" w:w="5000.0"/>
        <w:tblLook w:firstRow="1"/>
      </w:tblPr>
      <w:tblGrid>
        <w:gridCol w:w="1980"/>
        <w:gridCol w:w="1980"/>
        <w:gridCol w:w="1980"/>
        <w:gridCol w:w="19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Capa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Próximo paso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Siguiente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Más adelante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🤝 Friendraising</w:t>
            </w:r>
          </w:p>
        </w:tc>
        <w:tc>
          <w:p>
            <w:pPr>
              <w:pStyle w:val="Compact"/>
              <w:jc w:val="left"/>
            </w:pPr>
            <w:r>
              <w:t xml:space="preserve">Warm intros vía RIL (CAF·IDB Lab·Google.org) + GridX/ORT; ir a GridX/IGNITE y foros IDB Lab/CAF; mapear 20 contactos/capa</w:t>
            </w:r>
          </w:p>
        </w:tc>
        <w:tc>
          <w:p>
            <w:pPr>
              <w:pStyle w:val="Compact"/>
              <w:jc w:val="left"/>
            </w:pPr>
            <w:r>
              <w:t xml:space="preserve">KOLs en The Menopause Society / IMS Río + clientes en Vitafoods; convertir interés en LOIs</w:t>
            </w:r>
          </w:p>
        </w:tc>
        <w:tc>
          <w:p>
            <w:pPr>
              <w:pStyle w:val="Compact"/>
              <w:jc w:val="left"/>
            </w:pPr>
            <w:r>
              <w:t xml:space="preserve">Red global (SynBioBeta, JPM, Longevity Investors Conf.)</w:t>
            </w:r>
            <w:r>
              <w:t xml:space="preserve"> </w:t>
            </w:r>
            <w:r>
              <w:rPr>
                <w:b/>
              </w:rPr>
              <w:t xml:space="preserve">antes</w:t>
            </w:r>
            <w:r>
              <w:t xml:space="preserve"> </w:t>
            </w:r>
            <w:r>
              <w:t xml:space="preserve">de Serie 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💡 Funraising</w:t>
            </w:r>
          </w:p>
        </w:tc>
        <w:tc>
          <w:p>
            <w:pPr>
              <w:pStyle w:val="Compact"/>
              <w:jc w:val="left"/>
            </w:pPr>
            <w:r>
              <w:t xml:space="preserve">Aplicar a ANII (UY ✓) + IDB Lab (warm vía RIL); entrar a Nucleate</w:t>
            </w:r>
          </w:p>
        </w:tc>
        <w:tc>
          <w:p>
            <w:pPr>
              <w:pStyle w:val="Compact"/>
              <w:jc w:val="left"/>
            </w:pPr>
            <w:r>
              <w:t xml:space="preserve">Grant/premio que banque el piloto 30 L (CORFO · EIC si UE)</w:t>
            </w:r>
          </w:p>
        </w:tc>
        <w:tc>
          <w:p>
            <w:pPr>
              <w:pStyle w:val="Compact"/>
              <w:jc w:val="left"/>
            </w:pPr>
            <w:r>
              <w:t xml:space="preserve">Grants para 2ª molécula y evidencia (SBIR/ARPA-H si US · UNICEF Femtech)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💰 Fundraising</w:t>
            </w:r>
          </w:p>
        </w:tc>
        <w:tc>
          <w:p>
            <w:pPr>
              <w:pStyle w:val="Compact"/>
              <w:jc w:val="left"/>
            </w:pPr>
            <w:r>
              <w:t xml:space="preserve">Cerrar Pre-Seed ($0.25–1.5M) con ángeles + lead (Grid Exponential / Draper Cygnus)</w:t>
            </w:r>
          </w:p>
        </w:tc>
        <w:tc>
          <w:p>
            <w:pPr>
              <w:pStyle w:val="Compact"/>
              <w:jc w:val="left"/>
            </w:pPr>
            <w:r>
              <w:t xml:space="preserve">Seed ($2–7M) con VC deeptech/foodtech LatAm + IndieBio/Big Idea</w:t>
            </w:r>
          </w:p>
        </w:tc>
        <w:tc>
          <w:p>
            <w:pPr>
              <w:pStyle w:val="Compact"/>
              <w:jc w:val="left"/>
            </w:pPr>
            <w:r>
              <w:t xml:space="preserve">Serie A internacional (Flagship·ARCH·FemHealth) o ruta de licencia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esfuerzo-impacto-foco-pre-seed-seed"/>
      <w:r>
        <w:t xml:space="preserve">7. Esfuerzo × Impacto — foco Pre-Seed / Seed</w:t>
      </w:r>
      <w:bookmarkEnd w:id="33"/>
    </w:p>
    <w:p>
      <w:pPr>
        <w:pStyle w:val="FirstParagraph"/>
      </w:pPr>
      <w:r>
        <w:t xml:space="preserve">Rango USD potencial por jugador (orientativo):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Instrumento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Rango USD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Equity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Esfuerzo/tiempo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Ángeles &amp; Friends</w:t>
            </w:r>
          </w:p>
        </w:tc>
        <w:tc>
          <w:p>
            <w:pPr>
              <w:pStyle w:val="Compact"/>
              <w:jc w:val="left"/>
            </w:pPr>
            <w:r>
              <w:t xml:space="preserve">$25–250K</w:t>
            </w:r>
          </w:p>
        </w:tc>
        <w:tc>
          <w:p>
            <w:pPr>
              <w:pStyle w:val="Compact"/>
              <w:jc w:val="left"/>
            </w:pPr>
            <w:r>
              <w:t xml:space="preserve">0–poca dilución</w:t>
            </w:r>
          </w:p>
        </w:tc>
        <w:tc>
          <w:p>
            <w:pPr>
              <w:pStyle w:val="Compact"/>
              <w:jc w:val="left"/>
            </w:pPr>
            <w:r>
              <w:t xml:space="preserve">bajo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Aceleradoras equity-free (Nucleate/JLABS/IndieBio)</w:t>
            </w:r>
          </w:p>
        </w:tc>
        <w:tc>
          <w:p>
            <w:pPr>
              <w:pStyle w:val="Compact"/>
              <w:jc w:val="left"/>
            </w:pPr>
            <w:r>
              <w:t xml:space="preserve">$0–525K</w:t>
            </w:r>
          </w:p>
        </w:tc>
        <w:tc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p>
            <w:pPr>
              <w:pStyle w:val="Compact"/>
              <w:jc w:val="left"/>
            </w:pPr>
            <w:r>
              <w:t xml:space="preserve">bajo-medio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Grants chicos (ANII, premios)</w:t>
            </w:r>
          </w:p>
        </w:tc>
        <w:tc>
          <w:p>
            <w:pPr>
              <w:pStyle w:val="Compact"/>
              <w:jc w:val="left"/>
            </w:pPr>
            <w:r>
              <w:t xml:space="preserve">$20–300K</w:t>
            </w:r>
          </w:p>
        </w:tc>
        <w:tc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p>
            <w:pPr>
              <w:pStyle w:val="Compact"/>
              <w:jc w:val="left"/>
            </w:pPr>
            <w:r>
              <w:t xml:space="preserve">medio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Grants medianos (IDB Lab, CORFO)</w:t>
            </w:r>
          </w:p>
        </w:tc>
        <w:tc>
          <w:p>
            <w:pPr>
              <w:pStyle w:val="Compact"/>
              <w:jc w:val="left"/>
            </w:pPr>
            <w:r>
              <w:t xml:space="preserve">$0.75–2M</w:t>
            </w:r>
          </w:p>
        </w:tc>
        <w:tc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p>
            <w:pPr>
              <w:pStyle w:val="Compact"/>
              <w:jc w:val="left"/>
            </w:pPr>
            <w:r>
              <w:t xml:space="preserve">alto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VC Pre-Seed (Grid Exponential, Draper Cygnus)</w:t>
            </w:r>
          </w:p>
        </w:tc>
        <w:tc>
          <w:p>
            <w:pPr>
              <w:pStyle w:val="Compact"/>
              <w:jc w:val="left"/>
            </w:pPr>
            <w:r>
              <w:t xml:space="preserve">$0.25–1.5M</w:t>
            </w:r>
          </w:p>
        </w:tc>
        <w:tc>
          <w:p>
            <w:pPr>
              <w:pStyle w:val="Compact"/>
              <w:jc w:val="left"/>
            </w:pPr>
            <w:r>
              <w:t xml:space="preserve">dil. 10–20%</w:t>
            </w:r>
          </w:p>
        </w:tc>
        <w:tc>
          <w:p>
            <w:pPr>
              <w:pStyle w:val="Compact"/>
              <w:jc w:val="left"/>
            </w:pPr>
            <w:r>
              <w:t xml:space="preserve">medio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VC Seed (SP Ventures, IndieBio, Big Idea)</w:t>
            </w:r>
          </w:p>
        </w:tc>
        <w:tc>
          <w:p>
            <w:pPr>
              <w:pStyle w:val="Compact"/>
              <w:jc w:val="left"/>
            </w:pPr>
            <w:r>
              <w:t xml:space="preserve">$2–7M</w:t>
            </w:r>
          </w:p>
        </w:tc>
        <w:tc>
          <w:p>
            <w:pPr>
              <w:pStyle w:val="Compact"/>
              <w:jc w:val="left"/>
            </w:pPr>
            <w:r>
              <w:t xml:space="preserve">dil. 15–25%</w:t>
            </w:r>
          </w:p>
        </w:tc>
        <w:tc>
          <w:p>
            <w:pPr>
              <w:pStyle w:val="Compact"/>
              <w:jc w:val="left"/>
            </w:pPr>
            <w:r>
              <w:t xml:space="preserve">medio-alto</w:t>
            </w:r>
          </w:p>
        </w:tc>
      </w:tr>
    </w:tbl>
    <w:p>
      <w:pPr>
        <w:pStyle w:val="Heading3"/>
      </w:pPr>
      <w:bookmarkStart w:id="34" w:name="tres-sombreros"/>
      <w:r>
        <w:t xml:space="preserve">Tres sombreros</w:t>
      </w:r>
      <w:bookmarkEnd w:id="3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🟡 Amarillo (me gusta):</w:t>
      </w:r>
      <w:r>
        <w:t xml:space="preserve"> </w:t>
      </w:r>
      <w:r>
        <w:t xml:space="preserve">no dilutivo apilable (ANII+IDB) financia el piloto sin ceder equity · warm intros vía RIL · Grid Exponential = encaje exacto de etapa/tesis.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⚫ Negro (alertas):</w:t>
      </w:r>
      <w:r>
        <w:t xml:space="preserve"> </w:t>
      </w:r>
      <w:r>
        <w:t xml:space="preserve">grants = procesos largos (3–9+ meses) · elegibilidad (SBIR=US, EIC=UE) · riesgo #1: sin LOIs reales la ronda se frena · perseguir 30 fondos a la vez quema foco.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🟢 Verde (ideas para lograrlo):</w:t>
      </w:r>
      <w:r>
        <w:t xml:space="preserve"> </w:t>
      </w:r>
      <w:r>
        <w:t xml:space="preserve">conseguir 1 LOI ancla (Vitafoods/Menopause Society) antes del Seed · aplicar a ANII + IDB Lab en paralelo este trimestre · usar GridX/IGNITE como lead y sindicar ángeles · evaluar entidad UY/UE para desbloquear ANII/EIC.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plataformas-para-explorar-capital"/>
      <w:r>
        <w:t xml:space="preserve">8. Plataformas para explorar capital</w:t>
      </w:r>
      <w:bookmarkEnd w:id="35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Inversores e historial:</w:t>
      </w:r>
      <w:r>
        <w:t xml:space="preserve"> </w:t>
      </w:r>
      <w:hyperlink r:id="rId36">
        <w:r>
          <w:rPr>
            <w:rStyle w:val="Hyperlink"/>
          </w:rPr>
          <w:t xml:space="preserve">Crunchbase</w:t>
        </w:r>
      </w:hyperlink>
      <w:r>
        <w:t xml:space="preserve"> </w:t>
      </w:r>
      <w:r>
        <w:t xml:space="preserve">·</w:t>
      </w:r>
      <w:r>
        <w:t xml:space="preserve"> </w:t>
      </w:r>
      <w:hyperlink r:id="rId37">
        <w:r>
          <w:rPr>
            <w:rStyle w:val="Hyperlink"/>
          </w:rPr>
          <w:t xml:space="preserve">PitchBook</w:t>
        </w:r>
      </w:hyperlink>
      <w:r>
        <w:t xml:space="preserve"> </w:t>
      </w:r>
      <w:r>
        <w:t xml:space="preserve">·</w:t>
      </w:r>
      <w:r>
        <w:t xml:space="preserve"> </w:t>
      </w:r>
      <w:hyperlink r:id="rId38">
        <w:r>
          <w:rPr>
            <w:rStyle w:val="Hyperlink"/>
          </w:rPr>
          <w:t xml:space="preserve">Dealroom</w:t>
        </w:r>
      </w:hyperlink>
      <w:r>
        <w:t xml:space="preserve"> </w:t>
      </w:r>
      <w:r>
        <w:t xml:space="preserve">·</w:t>
      </w:r>
      <w:r>
        <w:t xml:space="preserve"> </w:t>
      </w:r>
      <w:hyperlink r:id="rId39">
        <w:r>
          <w:rPr>
            <w:rStyle w:val="Hyperlink"/>
          </w:rPr>
          <w:t xml:space="preserve">CB Insights</w:t>
        </w:r>
      </w:hyperlink>
      <w:r>
        <w:t xml:space="preserve"> </w:t>
      </w:r>
      <w:r>
        <w:t xml:space="preserve">·</w:t>
      </w:r>
      <w:r>
        <w:t xml:space="preserve"> </w:t>
      </w:r>
      <w:hyperlink r:id="rId40">
        <w:r>
          <w:rPr>
            <w:rStyle w:val="Hyperlink"/>
          </w:rPr>
          <w:t xml:space="preserve">Tracxn</w:t>
        </w:r>
      </w:hyperlink>
      <w:r>
        <w:t xml:space="preserve"> </w:t>
      </w:r>
      <w:r>
        <w:t xml:space="preserve">·</w:t>
      </w:r>
      <w:r>
        <w:t xml:space="preserve"> </w:t>
      </w:r>
      <w:hyperlink r:id="rId41">
        <w:r>
          <w:rPr>
            <w:rStyle w:val="Hyperlink"/>
          </w:rPr>
          <w:t xml:space="preserve">OpenVC</w:t>
        </w:r>
      </w:hyperlink>
      <w:r>
        <w:t xml:space="preserve"> </w:t>
      </w:r>
      <w:r>
        <w:t xml:space="preserve">·</w:t>
      </w:r>
      <w:r>
        <w:t xml:space="preserve"> </w:t>
      </w:r>
      <w:hyperlink r:id="rId42">
        <w:r>
          <w:rPr>
            <w:rStyle w:val="Hyperlink"/>
          </w:rPr>
          <w:t xml:space="preserve">Signal by NFX</w:t>
        </w:r>
      </w:hyperlink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Agregadores de convocatorias / grants:</w:t>
      </w:r>
      <w:r>
        <w:t xml:space="preserve"> </w:t>
      </w:r>
      <w:hyperlink r:id="rId43">
        <w:r>
          <w:rPr>
            <w:rStyle w:val="Hyperlink"/>
          </w:rPr>
          <w:t xml:space="preserve">Innpactia</w:t>
        </w:r>
      </w:hyperlink>
      <w:r>
        <w:t xml:space="preserve"> </w:t>
      </w:r>
      <w:r>
        <w:t xml:space="preserve">·</w:t>
      </w:r>
      <w:r>
        <w:t xml:space="preserve"> </w:t>
      </w:r>
      <w:hyperlink r:id="rId44">
        <w:r>
          <w:rPr>
            <w:rStyle w:val="Hyperlink"/>
          </w:rPr>
          <w:t xml:space="preserve">Instrumentl</w:t>
        </w:r>
      </w:hyperlink>
      <w:r>
        <w:t xml:space="preserve"> </w:t>
      </w:r>
      <w:r>
        <w:t xml:space="preserve">·</w:t>
      </w:r>
      <w:r>
        <w:t xml:space="preserve"> </w:t>
      </w:r>
      <w:hyperlink r:id="rId45">
        <w:r>
          <w:rPr>
            <w:rStyle w:val="Hyperlink"/>
          </w:rPr>
          <w:t xml:space="preserve">Candid/Foundation Directory</w:t>
        </w:r>
      </w:hyperlink>
      <w:r>
        <w:t xml:space="preserve"> </w:t>
      </w:r>
      <w:r>
        <w:t xml:space="preserve">·</w:t>
      </w:r>
      <w:r>
        <w:t xml:space="preserve"> </w:t>
      </w:r>
      <w:hyperlink r:id="rId46">
        <w:r>
          <w:rPr>
            <w:rStyle w:val="Hyperlink"/>
          </w:rPr>
          <w:t xml:space="preserve">Grants.gov</w:t>
        </w:r>
      </w:hyperlink>
      <w:r>
        <w:t xml:space="preserve"> </w:t>
      </w:r>
      <w:r>
        <w:t xml:space="preserve">·</w:t>
      </w:r>
      <w:r>
        <w:t xml:space="preserve"> </w:t>
      </w:r>
      <w:hyperlink r:id="rId47">
        <w:r>
          <w:rPr>
            <w:rStyle w:val="Hyperlink"/>
          </w:rPr>
          <w:t xml:space="preserve">EU Funding &amp; Tenders</w:t>
        </w:r>
      </w:hyperlink>
      <w:r>
        <w:t xml:space="preserve"> </w:t>
      </w:r>
      <w:r>
        <w:t xml:space="preserve">·</w:t>
      </w:r>
      <w:r>
        <w:t xml:space="preserve"> </w:t>
      </w:r>
      <w:hyperlink r:id="rId48">
        <w:r>
          <w:rPr>
            <w:rStyle w:val="Hyperlink"/>
          </w:rPr>
          <w:t xml:space="preserve">Good Food Institute</w:t>
        </w:r>
      </w:hyperlink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Acceso a capital transfronterizo (filantrópico, para entidades sin fines de lucro — vía RIL o brazo de I+D nonprofit):</w:t>
      </w:r>
      <w:r>
        <w:t xml:space="preserve"> </w:t>
      </w:r>
      <w:hyperlink r:id="rId49">
        <w:r>
          <w:rPr>
            <w:rStyle w:val="Hyperlink"/>
          </w:rPr>
          <w:t xml:space="preserve">Myriad USA</w:t>
        </w:r>
      </w:hyperlink>
      <w:r>
        <w:t xml:space="preserve"> </w:t>
      </w:r>
      <w:r>
        <w:t xml:space="preserve">·</w:t>
      </w:r>
      <w:r>
        <w:t xml:space="preserve"> </w:t>
      </w:r>
      <w:hyperlink r:id="rId50">
        <w:r>
          <w:rPr>
            <w:rStyle w:val="Hyperlink"/>
          </w:rPr>
          <w:t xml:space="preserve">CAF America</w:t>
        </w:r>
      </w:hyperlink>
      <w:r>
        <w:t xml:space="preserve"> </w:t>
      </w:r>
      <w:r>
        <w:t xml:space="preserve">·</w:t>
      </w:r>
      <w:r>
        <w:t xml:space="preserve"> </w:t>
      </w:r>
      <w:hyperlink r:id="rId51">
        <w:r>
          <w:rPr>
            <w:rStyle w:val="Hyperlink"/>
          </w:rPr>
          <w:t xml:space="preserve">NGOsource</w:t>
        </w:r>
      </w:hyperlink>
      <w:r>
        <w:t xml:space="preserve"> </w:t>
      </w:r>
      <w:r>
        <w:t xml:space="preserve">·</w:t>
      </w:r>
      <w:r>
        <w:t xml:space="preserve"> </w:t>
      </w:r>
      <w:hyperlink r:id="rId52">
        <w:r>
          <w:rPr>
            <w:rStyle w:val="Hyperlink"/>
          </w:rPr>
          <w:t xml:space="preserve">GlobalGiving</w:t>
        </w:r>
      </w:hyperlink>
      <w:r>
        <w:t xml:space="preserve"> </w:t>
      </w:r>
      <w:r>
        <w:t xml:space="preserve">·</w:t>
      </w:r>
      <w:r>
        <w:t xml:space="preserve"> </w:t>
      </w:r>
      <w:hyperlink r:id="rId53">
        <w:r>
          <w:rPr>
            <w:rStyle w:val="Hyperlink"/>
          </w:rPr>
          <w:t xml:space="preserve">Give2Asia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4" w:name="X3eceeeb7ff14ab4c5914f72049b60527444c677"/>
      <w:r>
        <w:t xml:space="preserve">FOCO — criterio de éxito del financiamiento</w:t>
      </w:r>
      <w:bookmarkEnd w:id="54"/>
    </w:p>
    <w:p>
      <w:pPr>
        <w:pStyle w:val="FirstParagraph"/>
      </w:pPr>
      <w:r>
        <w:t xml:space="preserve">Cerramos el capital correcto, al menor costo de equity posible, con socios que aceleran el próximo hito.</w:t>
      </w:r>
      <w:r>
        <w:t xml:space="preserve"> </w:t>
      </w:r>
      <w:r>
        <w:rPr>
          <w:b/>
        </w:rPr>
        <w:t xml:space="preserve">El sistema funciona si la red abre las puertas y la confianza cierra los cheques.</w:t>
      </w:r>
    </w:p>
    <w:p>
      <w:pPr>
        <w:pStyle w:val="BodyText"/>
      </w:pPr>
      <w:r>
        <w:rPr>
          <w:b/>
        </w:rPr>
        <w:t xml:space="preserve">Misión:</w:t>
      </w:r>
      <w:r>
        <w:t xml:space="preserve"> </w:t>
      </w:r>
      <w:r>
        <w:t xml:space="preserve">llevar a cada mujer el beneficio del equol — y construir la plataforma de flavonoides bioactivos de LatAm.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5" w:name="fuentes"/>
      <w:r>
        <w:t xml:space="preserve">Fuentes</w:t>
      </w:r>
      <w:bookmarkEnd w:id="55"/>
    </w:p>
    <w:p>
      <w:pPr>
        <w:pStyle w:val="FirstParagraph"/>
      </w:pPr>
      <w:r>
        <w:t xml:space="preserve">Investigación web verificada jun-2026 (VCsheet/OpenVC biotech &amp; deeptech; AgFunder/S2G/Astanor/Big Idea foodtech &amp; fermentación; The Kitchen/Fresh Start/PeakBridge Israel; FemHealth/Avestria/Goddess Gaia femtech; Grid Exponential/SP Ventures/Draper Cygnus LatAm; IDB Lab/SBIR/Horizon Europe/Nucleate no-dilutivos; The Menopause Society, IMS, Longevity Investors Conference, ARDD, Gut Microbiota for Health, World Pork Expo/IPPE, Vitafoods/SupplySide; Innpactia, Crunchbase/PitchBook/Dealroom, Myriad USA/CAF America). Excel</w:t>
      </w:r>
      <w:r>
        <w:t xml:space="preserve"> </w:t>
      </w:r>
      <w:r>
        <w:t xml:space="preserve">“</w:t>
      </w:r>
      <w:r>
        <w:t xml:space="preserve">Aliados históricos RIL</w:t>
      </w:r>
      <w:r>
        <w:t xml:space="preserve">”</w:t>
      </w:r>
      <w:r>
        <w:t xml:space="preserve"> </w:t>
      </w:r>
      <w:r>
        <w:t xml:space="preserve">(CAF, IDB Lab, Google.org). Identidad visual Next Steps Lab.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s://cafamerica.org" TargetMode="External" /><Relationship Type="http://schemas.openxmlformats.org/officeDocument/2006/relationships/hyperlink" Id="rId45" Target="https://candid.org" TargetMode="External" /><Relationship Type="http://schemas.openxmlformats.org/officeDocument/2006/relationships/hyperlink" Id="rId38" Target="https://dealroom.co" TargetMode="External" /><Relationship Type="http://schemas.openxmlformats.org/officeDocument/2006/relationships/hyperlink" Id="rId47" Target="https://ec.europa.eu/info/funding-tenders/opportunities/portal/screen/home" TargetMode="External" /><Relationship Type="http://schemas.openxmlformats.org/officeDocument/2006/relationships/hyperlink" Id="rId48" Target="https://gfi.org" TargetMode="External" /><Relationship Type="http://schemas.openxmlformats.org/officeDocument/2006/relationships/hyperlink" Id="rId53" Target="https://give2asia.org" TargetMode="External" /><Relationship Type="http://schemas.openxmlformats.org/officeDocument/2006/relationships/hyperlink" Id="rId43" Target="https://innpactia.com" TargetMode="External" /><Relationship Type="http://schemas.openxmlformats.org/officeDocument/2006/relationships/hyperlink" Id="rId49" Target="https://myriadusa.org/services/american-friends-funds/" TargetMode="External" /><Relationship Type="http://schemas.openxmlformats.org/officeDocument/2006/relationships/hyperlink" Id="rId37" Target="https://pitchbook.com" TargetMode="External" /><Relationship Type="http://schemas.openxmlformats.org/officeDocument/2006/relationships/hyperlink" Id="rId42" Target="https://signal.nfx.com" TargetMode="External" /><Relationship Type="http://schemas.openxmlformats.org/officeDocument/2006/relationships/hyperlink" Id="rId40" Target="https://tracxn.com" TargetMode="External" /><Relationship Type="http://schemas.openxmlformats.org/officeDocument/2006/relationships/hyperlink" Id="rId39" Target="https://www.cbinsights.com" TargetMode="External" /><Relationship Type="http://schemas.openxmlformats.org/officeDocument/2006/relationships/hyperlink" Id="rId36" Target="https://www.crunchbase.com" TargetMode="External" /><Relationship Type="http://schemas.openxmlformats.org/officeDocument/2006/relationships/hyperlink" Id="rId52" Target="https://www.globalgiving.org" TargetMode="External" /><Relationship Type="http://schemas.openxmlformats.org/officeDocument/2006/relationships/hyperlink" Id="rId46" Target="https://www.grants.gov" TargetMode="External" /><Relationship Type="http://schemas.openxmlformats.org/officeDocument/2006/relationships/hyperlink" Id="rId44" Target="https://www.instrumentl.com" TargetMode="External" /><Relationship Type="http://schemas.openxmlformats.org/officeDocument/2006/relationships/hyperlink" Id="rId51" Target="https://www.ngosource.org" TargetMode="External" /><Relationship Type="http://schemas.openxmlformats.org/officeDocument/2006/relationships/hyperlink" Id="rId41" Target="https://www.openvc.app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0" Target="https://cafamerica.org" TargetMode="External" /><Relationship Type="http://schemas.openxmlformats.org/officeDocument/2006/relationships/hyperlink" Id="rId45" Target="https://candid.org" TargetMode="External" /><Relationship Type="http://schemas.openxmlformats.org/officeDocument/2006/relationships/hyperlink" Id="rId38" Target="https://dealroom.co" TargetMode="External" /><Relationship Type="http://schemas.openxmlformats.org/officeDocument/2006/relationships/hyperlink" Id="rId47" Target="https://ec.europa.eu/info/funding-tenders/opportunities/portal/screen/home" TargetMode="External" /><Relationship Type="http://schemas.openxmlformats.org/officeDocument/2006/relationships/hyperlink" Id="rId48" Target="https://gfi.org" TargetMode="External" /><Relationship Type="http://schemas.openxmlformats.org/officeDocument/2006/relationships/hyperlink" Id="rId53" Target="https://give2asia.org" TargetMode="External" /><Relationship Type="http://schemas.openxmlformats.org/officeDocument/2006/relationships/hyperlink" Id="rId43" Target="https://innpactia.com" TargetMode="External" /><Relationship Type="http://schemas.openxmlformats.org/officeDocument/2006/relationships/hyperlink" Id="rId49" Target="https://myriadusa.org/services/american-friends-funds/" TargetMode="External" /><Relationship Type="http://schemas.openxmlformats.org/officeDocument/2006/relationships/hyperlink" Id="rId37" Target="https://pitchbook.com" TargetMode="External" /><Relationship Type="http://schemas.openxmlformats.org/officeDocument/2006/relationships/hyperlink" Id="rId42" Target="https://signal.nfx.com" TargetMode="External" /><Relationship Type="http://schemas.openxmlformats.org/officeDocument/2006/relationships/hyperlink" Id="rId40" Target="https://tracxn.com" TargetMode="External" /><Relationship Type="http://schemas.openxmlformats.org/officeDocument/2006/relationships/hyperlink" Id="rId39" Target="https://www.cbinsights.com" TargetMode="External" /><Relationship Type="http://schemas.openxmlformats.org/officeDocument/2006/relationships/hyperlink" Id="rId36" Target="https://www.crunchbase.com" TargetMode="External" /><Relationship Type="http://schemas.openxmlformats.org/officeDocument/2006/relationships/hyperlink" Id="rId52" Target="https://www.globalgiving.org" TargetMode="External" /><Relationship Type="http://schemas.openxmlformats.org/officeDocument/2006/relationships/hyperlink" Id="rId46" Target="https://www.grants.gov" TargetMode="External" /><Relationship Type="http://schemas.openxmlformats.org/officeDocument/2006/relationships/hyperlink" Id="rId44" Target="https://www.instrumentl.com" TargetMode="External" /><Relationship Type="http://schemas.openxmlformats.org/officeDocument/2006/relationships/hyperlink" Id="rId51" Target="https://www.ngosource.org" TargetMode="External" /><Relationship Type="http://schemas.openxmlformats.org/officeDocument/2006/relationships/hyperlink" Id="rId41" Target="https://www.openvc.ap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2026-06-18T18:06:49Z</dcterms:created>
  <dcterms:modified xsi:type="dcterms:W3CDTF">2026-06-18T18:06:49Z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