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Funnel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</w:p>
    <w:bookmarkStart w:id="27" w:name="pg"/>
    <w:p>
      <w:pPr>
        <w:pStyle w:val="FirstParagraph"/>
      </w:pPr>
      <w:r>
        <w:t xml:space="preserve">Playbook · Flavant (Equoli) · Funnel de mercado</w:t>
      </w:r>
    </w:p>
    <w:p>
      <w:pPr>
        <w:pStyle w:val="Heading1"/>
      </w:pPr>
      <w:bookmarkStart w:id="20" w:name="Xa46eda7ec39b3730ddae4c8ffebccabe61183b5"/>
      <w:r>
        <w:t xml:space="preserve">Cómo dimensionamos y validamos la demanda</w:t>
      </w:r>
      <w:bookmarkEnd w:id="20"/>
    </w:p>
    <w:p>
      <w:pPr>
        <w:pStyle w:val="FirstParagraph"/>
      </w:pPr>
      <w:r>
        <w:t xml:space="preserve">El manual para contar el mercado sin inflarlo y para convertir “promesa” en “contrato”. Basado en el Roadmap de moléculas y la Validación del Data Room.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Mostrar el embudo del</w:t>
      </w:r>
      <w:r>
        <w:t xml:space="preserve"> </w:t>
      </w:r>
      <w:r>
        <w:rPr>
          <w:b/>
        </w:rPr>
        <w:t xml:space="preserve">problema</w:t>
      </w:r>
      <w:r>
        <w:t xml:space="preserve"> </w:t>
      </w:r>
      <w:r>
        <w:t xml:space="preserve">(menopausia no hormonal), no el del ingrediente puro — y dónde se valida la demanda.</w:t>
      </w:r>
    </w:p>
    <w:p>
      <w:pPr>
        <w:numPr>
          <w:ilvl w:val="0"/>
          <w:numId w:val="1001"/>
        </w:numPr>
        <w:pStyle w:val="Compact"/>
      </w:pPr>
      <w:r>
        <w:t xml:space="preserve">Atacar el</w:t>
      </w:r>
      <w:r>
        <w:t xml:space="preserve"> </w:t>
      </w:r>
      <w:r>
        <w:rPr>
          <w:b/>
        </w:rPr>
        <w:t xml:space="preserve">riesgo #1</w:t>
      </w:r>
      <w:r>
        <w:t xml:space="preserve"> </w:t>
      </w:r>
      <w:r>
        <w:t xml:space="preserve">(¿hay demanda B2B real?) con evidencia, no con relato.</w:t>
      </w:r>
    </w:p>
    <w:p>
      <w:pPr>
        <w:pStyle w:val="Heading2"/>
      </w:pPr>
      <w:bookmarkStart w:id="22" w:name="principios"/>
      <w:r>
        <w:t xml:space="preserve">2</w:t>
      </w:r>
      <w:r>
        <w:t xml:space="preserve"> </w:t>
      </w:r>
      <w:r>
        <w:t xml:space="preserve">Principios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El ingrediente puro es chico porque nadie lo fabrica bien</w:t>
      </w:r>
      <w:r>
        <w:t xml:space="preserve"> </w:t>
      </w:r>
      <w:r>
        <w:t xml:space="preserve">(~$4–13M), no por falta de demanda. Esa brecha es la oportunidad, no el techo.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Contar el mercado del problema:</w:t>
      </w:r>
      <w:r>
        <w:t xml:space="preserve"> </w:t>
      </w:r>
      <w:r>
        <w:t xml:space="preserve">menopausia no hormonal ~$3B→7.5B (2030), B2B.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B2B ingredient-inside</w:t>
      </w:r>
      <w:r>
        <w:t xml:space="preserve"> </w:t>
      </w:r>
      <w:r>
        <w:t xml:space="preserve">(como Perfect Day/Evolva): proveés a muchas marcas, no vendés al consumidor temprano.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75% no-productoras</w:t>
      </w:r>
      <w:r>
        <w:t xml:space="preserve"> </w:t>
      </w:r>
      <w:r>
        <w:t xml:space="preserve">(3 de 4, población occidental) — fijar con fuente.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El primer LOI es el examen de confianza:</w:t>
      </w:r>
      <w:r>
        <w:t xml:space="preserve"> </w:t>
      </w:r>
      <w:r>
        <w:t xml:space="preserve">convierte promesa en contrato.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El cuello clave</w:t>
      </w:r>
      <w:r>
        <w:t xml:space="preserve"> </w:t>
      </w:r>
      <w:r>
        <w:t xml:space="preserve">del embudo: pasar de “consciente” a “prueba” — ahí se mide la demanda real.</w:t>
      </w:r>
    </w:p>
    <w:p>
      <w:pPr>
        <w:pStyle w:val="Heading2"/>
      </w:pPr>
      <w:bookmarkStart w:id="23" w:name="participantes"/>
      <w:r>
        <w:t xml:space="preserve">3</w:t>
      </w:r>
      <w:r>
        <w:t xml:space="preserve"> </w:t>
      </w:r>
      <w:r>
        <w:t xml:space="preserve">Participantes</w:t>
      </w:r>
      <w:bookmarkEnd w:id="23"/>
    </w:p>
    <w:p>
      <w:pPr>
        <w:pStyle w:val="FirstParagraph"/>
      </w:pPr>
      <w:r>
        <w:t xml:space="preserve">Jota (negocio)</w:t>
      </w:r>
    </w:p>
    <w:p>
      <w:pPr>
        <w:pStyle w:val="BodyText"/>
      </w:pPr>
      <w:r>
        <w:t xml:space="preserve">Dimensiona el mercado, corre las entrevistas a formuladores y persigue los LOIs.</w:t>
      </w:r>
    </w:p>
    <w:p>
      <w:pPr>
        <w:pStyle w:val="BodyText"/>
      </w:pPr>
      <w:r>
        <w:t xml:space="preserve">Marcas &amp; formuladores B2B</w:t>
      </w:r>
    </w:p>
    <w:p>
      <w:pPr>
        <w:pStyle w:val="BodyText"/>
      </w:pPr>
      <w:r>
        <w:t xml:space="preserve">Femtech, nutracéutica, cosmética premium — los clientes del modelo ingredient-inside.</w:t>
      </w:r>
    </w:p>
    <w:p>
      <w:pPr>
        <w:pStyle w:val="Heading2"/>
      </w:pPr>
      <w:bookmarkStart w:id="24" w:name="estructuras-artefactos"/>
      <w:r>
        <w:t xml:space="preserve">4</w:t>
      </w:r>
      <w:r>
        <w:t xml:space="preserve"> </w:t>
      </w:r>
      <w:r>
        <w:t xml:space="preserve">Estructuras (artefactos)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Funnel TAM/SAM/SOM</w:t>
      </w:r>
      <w:r>
        <w:t xml:space="preserve"> </w:t>
      </w:r>
      <w:r>
        <w:t xml:space="preserve">anclado al problema (no al ingrediente).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Pipeline de LOIs / pre-acuerdos</w:t>
      </w:r>
      <w:r>
        <w:t xml:space="preserve"> </w:t>
      </w:r>
      <w:r>
        <w:t xml:space="preserve">— el termómetro de demanda.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Guion de entrevistas a formuladores</w:t>
      </w:r>
      <w:r>
        <w:t xml:space="preserve"> </w:t>
      </w:r>
      <w:r>
        <w:t xml:space="preserve">— para validar apetito real.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Banco de cifras con rango y fuente</w:t>
      </w:r>
      <w:r>
        <w:t xml:space="preserve"> </w:t>
      </w:r>
      <w:r>
        <w:t xml:space="preserve">(mercados ruidosos: usar “around/north of”).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pStyle w:val="FirstParagraph"/>
      </w:pPr>
      <w:r>
        <w:t xml:space="preserve">Dimensionar sin inflar</w:t>
      </w:r>
    </w:p>
    <w:p>
      <w:pPr>
        <w:numPr>
          <w:ilvl w:val="0"/>
          <w:numId w:val="1005"/>
        </w:numPr>
        <w:pStyle w:val="Compact"/>
      </w:pPr>
      <w:r>
        <w:t xml:space="preserve">Elegir UNA cifra anclada al segmento que se vende (no hormonal, B2B).</w:t>
      </w:r>
    </w:p>
    <w:p>
      <w:pPr>
        <w:numPr>
          <w:ilvl w:val="0"/>
          <w:numId w:val="1005"/>
        </w:numPr>
        <w:pStyle w:val="Compact"/>
      </w:pPr>
      <w:r>
        <w:t xml:space="preserve">Dejar paraguas y aspiracional como contexto en apéndice.</w:t>
      </w:r>
    </w:p>
    <w:p>
      <w:pPr>
        <w:numPr>
          <w:ilvl w:val="0"/>
          <w:numId w:val="1005"/>
        </w:numPr>
        <w:pStyle w:val="Compact"/>
      </w:pPr>
      <w:r>
        <w:t xml:space="preserve">No sumar mercados distintos en un número.</w:t>
      </w:r>
    </w:p>
    <w:p>
      <w:pPr>
        <w:pStyle w:val="FirstParagraph"/>
      </w:pPr>
      <w:r>
        <w:t xml:space="preserve">Validar la demanda (riesgo #1)</w:t>
      </w:r>
    </w:p>
    <w:p>
      <w:pPr>
        <w:numPr>
          <w:ilvl w:val="0"/>
          <w:numId w:val="1006"/>
        </w:numPr>
        <w:pStyle w:val="Compact"/>
      </w:pPr>
      <w:r>
        <w:t xml:space="preserve">Entrevistas a formuladores/marcas.</w:t>
      </w:r>
    </w:p>
    <w:p>
      <w:pPr>
        <w:numPr>
          <w:ilvl w:val="0"/>
          <w:numId w:val="1006"/>
        </w:numPr>
        <w:pStyle w:val="Compact"/>
      </w:pPr>
      <w:r>
        <w:t xml:space="preserve">Buscar LOIs / pre-acuerdos.</w:t>
      </w:r>
    </w:p>
    <w:p>
      <w:pPr>
        <w:numPr>
          <w:ilvl w:val="0"/>
          <w:numId w:val="1006"/>
        </w:numPr>
        <w:pStyle w:val="Compact"/>
      </w:pPr>
      <w:r>
        <w:t xml:space="preserve">Medir conversión consciente→prueba.</w:t>
      </w:r>
    </w:p>
    <w:p>
      <w:pPr>
        <w:numPr>
          <w:ilvl w:val="0"/>
          <w:numId w:val="1006"/>
        </w:numPr>
        <w:pStyle w:val="Compact"/>
      </w:pPr>
      <w:r>
        <w:t xml:space="preserve">Primer contrato = hito que des-riesga.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Una cifra en el pitch hablado</w:t>
      </w:r>
      <w:r>
        <w:t xml:space="preserve">, el resto al apéndice.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B2B, no B2C temprano</w:t>
      </w:r>
      <w:r>
        <w:t xml:space="preserve"> </w:t>
      </w:r>
      <w:r>
        <w:t xml:space="preserve">(evitar el riesgo de adopción masiva).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Medir el embudo</w:t>
      </w:r>
      <w:r>
        <w:t xml:space="preserve">: ¿cuántos formuladores contactados → interesados → LOI?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Tratar el primer LOI como milestone</w:t>
      </w:r>
      <w:r>
        <w:t xml:space="preserve">, no como anécdota.</w:t>
      </w:r>
    </w:p>
    <w:p>
      <w:pPr>
        <w:pStyle w:val="FirstParagraph"/>
      </w:pPr>
      <w:r>
        <w:rPr>
          <w:b/>
        </w:rPr>
        <w:t xml:space="preserve">Flag de consistencia (Romina):</w:t>
      </w:r>
      <w:r>
        <w:t xml:space="preserve"> </w:t>
      </w:r>
      <w:r>
        <w:t xml:space="preserve">no mezclar el paraguas de menopausia (~$18–24B) con el gap aspiracional femtech ($600B) y el segmento defendible ($3B→7.5B). Para el pitch, elegir el segmento defendible y citar fuente.</w:t>
      </w:r>
    </w:p>
    <w:p>
      <w:pPr>
        <w:pStyle w:val="BodyText"/>
      </w:pPr>
      <w:r>
        <w:t xml:space="preserve">Fuente: Data Room — Roadmap de moléculas, Equoli_Validacion_Pitch. Mercados con rango y fuentes 2024–25 (Grand View, FMI, etc.). % no-productoras a fijar con fuente. Pieza hermana de la infografía “Funnel de mercado — Flavant”.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Funnel · Flavant</dc:title>
  <dc:creator/>
  <dc:language>es</dc:language>
  <cp:keywords/>
  <dcterms:created xsi:type="dcterms:W3CDTF">2026-06-17T20:41:18Z</dcterms:created>
  <dcterms:modified xsi:type="dcterms:W3CDTF">2026-06-17T20:41:18Z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