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decidir"/>
      <w:r>
        <w:t xml:space="preserve">DECIDIR</w:t>
      </w:r>
      <w:bookmarkEnd w:id="20"/>
    </w:p>
    <w:p>
      <w:pPr>
        <w:pStyle w:val="Heading3"/>
      </w:pPr>
      <w:bookmarkStart w:id="21" w:name="X3c3b15973e7a02b7467c9caf1d32d4a92b84f98"/>
      <w:r>
        <w:t xml:space="preserve">¿Cómo decidimos y quiénes participan de la gobernanza de Flavant?</w:t>
      </w:r>
      <w:bookmarkEnd w:id="21"/>
    </w:p>
    <w:p>
      <w:pPr>
        <w:pStyle w:val="BlockText"/>
      </w:pPr>
      <w:r>
        <w:t xml:space="preserve">Playbook de gobernanza · v1 · Modelo basado en Management 3.0 (Jurgen Appelo) + decisión por consentimiento (Sociocracia).</w:t>
      </w:r>
      <w:r>
        <w:t xml:space="preserve"> </w:t>
      </w:r>
      <w:r>
        <w:rPr>
          <w:i/>
        </w:rPr>
        <w:t xml:space="preserve">Misión y montos son placeholder — confirmar con el equipo.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tldr-la-regla-simple-las-3-p"/>
      <w:r>
        <w:t xml:space="preserve">TLDR — La regla simple: las 3 P</w:t>
      </w:r>
      <w:bookmarkEnd w:id="22"/>
    </w:p>
    <w:tbl>
      <w:tblPr>
        <w:tblStyle w:val="Table"/>
        <w:tblW w:type="pct" w:w="5000.0"/>
        <w:tblLook w:firstRow="0"/>
      </w:tblPr>
      <w:tblGrid>
        <w:gridCol w:w="2640"/>
        <w:gridCol w:w="2640"/>
        <w:gridCol w:w="2640"/>
      </w:tblGrid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PRIORIDADES</w:t>
            </w:r>
          </w:p>
        </w:tc>
        <w:tc>
          <w:p>
            <w:pPr>
              <w:pStyle w:val="Compact"/>
              <w:jc w:val="left"/>
            </w:pPr>
            <w:r>
              <w:rPr>
                <w:i/>
              </w:rPr>
              <w:t xml:space="preserve">qué decidimos y con qué criterio</w:t>
            </w:r>
          </w:p>
        </w:tc>
        <w:tc>
          <w:p>
            <w:pPr>
              <w:pStyle w:val="Compact"/>
              <w:jc w:val="left"/>
            </w:pPr>
            <w:r>
              <w:t xml:space="preserve">Tablero de decisiones por meta-categoría + Regla de Oro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PERSONAS</w:t>
            </w:r>
          </w:p>
        </w:tc>
        <w:tc>
          <w:p>
            <w:pPr>
              <w:pStyle w:val="Compact"/>
              <w:jc w:val="left"/>
            </w:pPr>
            <w:r>
              <w:rPr>
                <w:i/>
              </w:rPr>
              <w:t xml:space="preserve">quiénes participan</w:t>
            </w:r>
          </w:p>
        </w:tc>
        <w:tc>
          <w:p>
            <w:pPr>
              <w:pStyle w:val="Compact"/>
              <w:jc w:val="left"/>
            </w:pPr>
            <w:r>
              <w:t xml:space="preserve">Roles, Comité y Board, con autonomía acordada por dominio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PROCESOS</w:t>
            </w:r>
          </w:p>
        </w:tc>
        <w:tc>
          <w:p>
            <w:pPr>
              <w:pStyle w:val="Compact"/>
              <w:jc w:val="left"/>
            </w:pPr>
            <w:r>
              <w:rPr>
                <w:i/>
              </w:rPr>
              <w:t xml:space="preserve">cómo decidimos</w:t>
            </w:r>
          </w:p>
        </w:tc>
        <w:tc>
          <w:p>
            <w:pPr>
              <w:pStyle w:val="Compact"/>
              <w:jc w:val="left"/>
            </w:pPr>
            <w:r>
              <w:t xml:space="preserve">Consentimiento, niveles de delegación y resolución de desacuerdos</w:t>
            </w:r>
          </w:p>
        </w:tc>
      </w:tr>
    </w:tbl>
    <w:p>
      <w:pPr>
        <w:pStyle w:val="BodyText"/>
      </w:pPr>
      <w:r>
        <w:rPr>
          <w:b/>
        </w:rPr>
        <w:t xml:space="preserve">Por qué existe este marco:</w:t>
      </w:r>
      <w:r>
        <w:t xml:space="preserve"> </w:t>
      </w:r>
      <w:r>
        <w:t xml:space="preserve">decidir rápido y con alineación, sin jefes cuello de botella. Eliminar las zonas grises convierte la energía en ejecución y es, además, una señal de madurez institucional ante futuros inversores.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3" w:name="X6885e67cd38dfeea86e13402d9cc5204ffbe01c"/>
      <w:r>
        <w:t xml:space="preserve">1 · PRIORIDADES — qué decidimos y con qué criterio</w:t>
      </w:r>
      <w:bookmarkEnd w:id="23"/>
    </w:p>
    <w:p>
      <w:pPr>
        <w:pStyle w:val="FirstParagraph"/>
      </w:pPr>
      <w:r>
        <w:t xml:space="preserve">Las decisiones se ordenan en</w:t>
      </w:r>
      <w:r>
        <w:t xml:space="preserve"> </w:t>
      </w:r>
      <w:r>
        <w:rPr>
          <w:b/>
        </w:rPr>
        <w:t xml:space="preserve">tres meta-categorías operativas</w:t>
      </w:r>
      <w:r>
        <w:t xml:space="preserve"> </w:t>
      </w:r>
      <w:r>
        <w:t xml:space="preserve">(Equipo · Productos/Servicios · Clientes) más una banda transversal de</w:t>
      </w:r>
      <w:r>
        <w:t xml:space="preserve"> </w:t>
      </w:r>
      <w:r>
        <w:rPr>
          <w:b/>
        </w:rPr>
        <w:t xml:space="preserve">decisiones estratégicas mayores</w:t>
      </w:r>
      <w:r>
        <w:t xml:space="preserve">. Cada fila tiene un único dueño que decide, quiénes co-deciden o son consultados, y el nivel de delegación acordado (ver Procesos).</w:t>
      </w:r>
    </w:p>
    <w:p>
      <w:pPr>
        <w:pStyle w:val="Heading3"/>
      </w:pPr>
      <w:bookmarkStart w:id="24" w:name="equipo-talento-cultura-y-organización"/>
      <w:r>
        <w:t xml:space="preserve">Equipo — talento, cultura y organización</w:t>
      </w:r>
      <w:bookmarkEnd w:id="24"/>
    </w:p>
    <w:tbl>
      <w:tblPr>
        <w:tblStyle w:val="Table"/>
        <w:tblW w:type="pct" w:w="5000.0"/>
        <w:tblLook w:firstRow="1"/>
      </w:tblPr>
      <w:tblGrid>
        <w:gridCol w:w="1980"/>
        <w:gridCol w:w="1980"/>
        <w:gridCol w:w="1980"/>
        <w:gridCol w:w="198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Dominio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Dueño (decide)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Co-decide / consulta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Nivel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Contrataciones &amp; crecimiento del equipo</w:t>
            </w:r>
          </w:p>
        </w:tc>
        <w:tc>
          <w:p>
            <w:pPr>
              <w:pStyle w:val="Compact"/>
              <w:jc w:val="left"/>
            </w:pPr>
            <w:r>
              <w:t xml:space="preserve">Lead del área</w:t>
            </w:r>
          </w:p>
        </w:tc>
        <w:tc>
          <w:p>
            <w:pPr>
              <w:pStyle w:val="Compact"/>
              <w:jc w:val="left"/>
            </w:pPr>
            <w:r>
              <w:t xml:space="preserve">CEO (aprob. final) · Founders</w:t>
            </w:r>
          </w:p>
        </w:tc>
        <w:tc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Cultura &amp; estructura organizacional</w:t>
            </w:r>
          </w:p>
        </w:tc>
        <w:tc>
          <w:p>
            <w:pPr>
              <w:pStyle w:val="Compact"/>
              <w:jc w:val="left"/>
            </w:pPr>
            <w:r>
              <w:t xml:space="preserve">Equipo fundador</w:t>
            </w:r>
          </w:p>
        </w:tc>
        <w:tc>
          <w:p>
            <w:pPr>
              <w:pStyle w:val="Compact"/>
              <w:jc w:val="left"/>
            </w:pPr>
            <w:r>
              <w:t xml:space="preserve">Leads de dominio</w:t>
            </w:r>
          </w:p>
        </w:tc>
        <w:tc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Compensación &amp; bandas salariales</w:t>
            </w:r>
          </w:p>
        </w:tc>
        <w:tc>
          <w:p>
            <w:pPr>
              <w:pStyle w:val="Compact"/>
              <w:jc w:val="left"/>
            </w:pPr>
            <w:r>
              <w:t xml:space="preserve">CEO / Negocio</w:t>
            </w:r>
          </w:p>
        </w:tc>
        <w:tc>
          <w:p>
            <w:pPr>
              <w:pStyle w:val="Compact"/>
              <w:jc w:val="left"/>
            </w:pPr>
            <w:r>
              <w:t xml:space="preserve">Lead propone</w:t>
            </w:r>
          </w:p>
        </w:tc>
        <w:tc>
          <w:p>
            <w:p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pStyle w:val="Heading3"/>
      </w:pPr>
      <w:bookmarkStart w:id="25" w:name="Xc3a45000e29645a5a46cd9991f2881cde8a7ce0"/>
      <w:r>
        <w:t xml:space="preserve">Productos / Servicios — ciencia, tecnología y producto</w:t>
      </w:r>
      <w:bookmarkEnd w:id="25"/>
    </w:p>
    <w:tbl>
      <w:tblPr>
        <w:tblStyle w:val="Table"/>
        <w:tblW w:type="pct" w:w="5000.0"/>
        <w:tblLook w:firstRow="1"/>
      </w:tblPr>
      <w:tblGrid>
        <w:gridCol w:w="1980"/>
        <w:gridCol w:w="1980"/>
        <w:gridCol w:w="1980"/>
        <w:gridCol w:w="198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Dominio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Dueño (decide)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Co-decide / consulta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Nivel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Ciencia, I+D &amp; tecnología (hipótesis, endpoints, plataforma)</w:t>
            </w:r>
          </w:p>
        </w:tc>
        <w:tc>
          <w:p>
            <w:pPr>
              <w:pStyle w:val="Compact"/>
              <w:jc w:val="left"/>
            </w:pPr>
            <w:r>
              <w:t xml:space="preserve">CSO</w:t>
            </w:r>
          </w:p>
        </w:tc>
        <w:tc>
          <w:p>
            <w:pPr>
              <w:pStyle w:val="Compact"/>
              <w:jc w:val="left"/>
            </w:pPr>
            <w:r>
              <w:t xml:space="preserve">Founders informados</w:t>
            </w:r>
          </w:p>
        </w:tc>
        <w:tc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Manufactura, escalado &amp; calidad</w:t>
            </w:r>
          </w:p>
        </w:tc>
        <w:tc>
          <w:p>
            <w:pPr>
              <w:pStyle w:val="Compact"/>
              <w:jc w:val="left"/>
            </w:pPr>
            <w:r>
              <w:t xml:space="preserve">CSO</w:t>
            </w:r>
          </w:p>
        </w:tc>
        <w:tc>
          <w:p>
            <w:pPr>
              <w:pStyle w:val="Compact"/>
              <w:jc w:val="left"/>
            </w:pPr>
            <w:r>
              <w:t xml:space="preserve">CPO + Founders</w:t>
            </w:r>
          </w:p>
        </w:tc>
        <w:tc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Producto &amp; formulación (necesidades del consumidor)</w:t>
            </w:r>
          </w:p>
        </w:tc>
        <w:tc>
          <w:p>
            <w:pPr>
              <w:pStyle w:val="Compact"/>
              <w:jc w:val="left"/>
            </w:pPr>
            <w:r>
              <w:t xml:space="preserve">CPO</w:t>
            </w:r>
          </w:p>
        </w:tc>
        <w:tc>
          <w:p>
            <w:pPr>
              <w:pStyle w:val="Compact"/>
              <w:jc w:val="left"/>
            </w:pPr>
            <w:r>
              <w:t xml:space="preserve">Ciencia + Comercial</w:t>
            </w:r>
          </w:p>
        </w:tc>
        <w:tc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Propiedad intelectual / patentes</w:t>
            </w:r>
          </w:p>
        </w:tc>
        <w:tc>
          <w:p>
            <w:pPr>
              <w:pStyle w:val="Compact"/>
              <w:jc w:val="left"/>
            </w:pPr>
            <w:r>
              <w:t xml:space="preserve">Comité (3 cofounders)</w:t>
            </w:r>
          </w:p>
        </w:tc>
        <w:tc>
          <w:p>
            <w:pPr>
              <w:pStyle w:val="Compact"/>
              <w:jc w:val="left"/>
            </w:pPr>
            <w:r>
              <w:t xml:space="preserve">Ciencia + legal</w:t>
            </w:r>
          </w:p>
        </w:tc>
        <w:tc>
          <w:p>
            <w:pPr>
              <w:pStyle w:val="Compact"/>
              <w:jc w:val="left"/>
            </w:pPr>
            <w:r>
              <w:t xml:space="preserve">3</w:t>
            </w:r>
          </w:p>
        </w:tc>
      </w:tr>
    </w:tbl>
    <w:p>
      <w:pPr>
        <w:pStyle w:val="Heading3"/>
      </w:pPr>
      <w:bookmarkStart w:id="26" w:name="clientes-mercado-y-demanda"/>
      <w:r>
        <w:t xml:space="preserve">Clientes — mercado y demanda</w:t>
      </w:r>
      <w:bookmarkEnd w:id="2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Dominio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Dueño (decide)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Co-decide / consulta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Nivel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Comercial &amp; mercado (GTM, pricing)</w:t>
            </w:r>
          </w:p>
        </w:tc>
        <w:tc>
          <w:p>
            <w:pPr>
              <w:pStyle w:val="Compact"/>
              <w:jc w:val="left"/>
            </w:pPr>
            <w:r>
              <w:t xml:space="preserve">CEO / Negocio</w:t>
            </w:r>
          </w:p>
        </w:tc>
        <w:tc>
          <w:p>
            <w:pPr>
              <w:pStyle w:val="Compact"/>
              <w:jc w:val="left"/>
            </w:pPr>
            <w:r>
              <w:t xml:space="preserve">CPO + Founders</w:t>
            </w:r>
          </w:p>
        </w:tc>
        <w:tc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Alianzas &amp; partnerships</w:t>
            </w:r>
          </w:p>
        </w:tc>
        <w:tc>
          <w:p>
            <w:pPr>
              <w:pStyle w:val="Compact"/>
              <w:jc w:val="left"/>
            </w:pPr>
            <w:r>
              <w:t xml:space="preserve">CEO / Negocio</w:t>
            </w:r>
          </w:p>
        </w:tc>
        <w:tc>
          <w:p>
            <w:pPr>
              <w:pStyle w:val="Compact"/>
              <w:jc w:val="left"/>
            </w:pPr>
            <w:r>
              <w:t xml:space="preserve">Founders</w:t>
            </w:r>
          </w:p>
        </w:tc>
        <w:tc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Experiencia &amp; adopción del cliente</w:t>
            </w:r>
          </w:p>
        </w:tc>
        <w:tc>
          <w:p>
            <w:pPr>
              <w:pStyle w:val="Compact"/>
              <w:jc w:val="left"/>
            </w:pPr>
            <w:r>
              <w:t xml:space="preserve">CPO</w:t>
            </w:r>
          </w:p>
        </w:tc>
        <w:tc>
          <w:p>
            <w:pPr>
              <w:pStyle w:val="Compact"/>
              <w:jc w:val="left"/>
            </w:pPr>
            <w:r>
              <w:t xml:space="preserve">Comercial + Ciencia</w:t>
            </w:r>
          </w:p>
        </w:tc>
        <w:tc>
          <w:p>
            <w:pPr>
              <w:pStyle w:val="Compact"/>
              <w:jc w:val="left"/>
            </w:pPr>
            <w:r>
              <w:t xml:space="preserve">5</w:t>
            </w:r>
          </w:p>
        </w:tc>
      </w:tr>
    </w:tbl>
    <w:p>
      <w:pPr>
        <w:pStyle w:val="Heading3"/>
      </w:pPr>
      <w:bookmarkStart w:id="27" w:name="Xfe15892fa5931e33b4e0f616c36746ba65ddd94"/>
      <w:r>
        <w:t xml:space="preserve">Decisiones estratégicas mayores — transversales → Comité / Board</w:t>
      </w:r>
      <w:bookmarkEnd w:id="2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Dominio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Dueño (decide)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Co-decide / consulta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Nivel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Estrategia, equity &amp; visión</w:t>
            </w:r>
          </w:p>
        </w:tc>
        <w:tc>
          <w:p>
            <w:pPr>
              <w:pStyle w:val="Compact"/>
              <w:jc w:val="left"/>
            </w:pPr>
            <w:r>
              <w:t xml:space="preserve">Equipo fundador</w:t>
            </w:r>
          </w:p>
        </w:tc>
        <w:tc>
          <w:p>
            <w:pPr>
              <w:pStyle w:val="Compact"/>
              <w:jc w:val="left"/>
            </w:pPr>
            <w:r>
              <w:t xml:space="preserve">Board (si existe)</w:t>
            </w:r>
          </w:p>
        </w:tc>
        <w:tc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Finanzas &amp; fundraising</w:t>
            </w:r>
          </w:p>
        </w:tc>
        <w:tc>
          <w:p>
            <w:pPr>
              <w:pStyle w:val="Compact"/>
              <w:jc w:val="left"/>
            </w:pPr>
            <w:r>
              <w:t xml:space="preserve">CEO / Negocio</w:t>
            </w:r>
          </w:p>
        </w:tc>
        <w:tc>
          <w:p>
            <w:pPr>
              <w:pStyle w:val="Compact"/>
              <w:jc w:val="left"/>
            </w:pPr>
            <w:r>
              <w:t xml:space="preserve">Founders (consentimiento)</w:t>
            </w:r>
          </w:p>
        </w:tc>
        <w:tc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Cambio de modelo de negocio / pivote</w:t>
            </w:r>
          </w:p>
        </w:tc>
        <w:tc>
          <w:p>
            <w:pPr>
              <w:pStyle w:val="Compact"/>
              <w:jc w:val="left"/>
            </w:pPr>
            <w:r>
              <w:t xml:space="preserve">Comité (3 cofounders)</w:t>
            </w:r>
          </w:p>
        </w:tc>
        <w:tc>
          <w:p>
            <w:pPr>
              <w:pStyle w:val="Compact"/>
              <w:jc w:val="left"/>
            </w:pPr>
            <w:r>
              <w:t xml:space="preserve">Board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Venta / licencia de IP o empresa</w:t>
            </w:r>
          </w:p>
        </w:tc>
        <w:tc>
          <w:p>
            <w:pPr>
              <w:pStyle w:val="Compact"/>
              <w:jc w:val="left"/>
            </w:pPr>
            <w:r>
              <w:t xml:space="preserve">Board</w:t>
            </w:r>
          </w:p>
        </w:tc>
        <w:tc>
          <w:p>
            <w:pPr>
              <w:pStyle w:val="Compact"/>
              <w:jc w:val="left"/>
            </w:pPr>
            <w:r>
              <w:t xml:space="preserve">Consentimiento ampliado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p>
      <w:pPr>
        <w:pStyle w:val="BodyText"/>
      </w:pPr>
      <w:r>
        <w:rPr>
          <w:b/>
        </w:rPr>
        <w:t xml:space="preserve">Criterio rector — la Regla de Oro:</w:t>
      </w:r>
      <w:r>
        <w:t xml:space="preserve"> </w:t>
      </w:r>
      <w:r>
        <w:t xml:space="preserve">ante cualquier duda o conflicto, gana la opción que</w:t>
      </w:r>
      <w:r>
        <w:t xml:space="preserve"> </w:t>
      </w:r>
      <w:r>
        <w:rPr>
          <w:b/>
        </w:rPr>
        <w:t xml:space="preserve">más reduce el riesgo del próximo hito crítico y maximiza la creación de valor a largo plazo</w:t>
      </w:r>
      <w:r>
        <w:t xml:space="preserve">. Despersonaliza el conflicto: todos quedan alineados bajo el imperativo de la misión.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personas-quiénes-participan"/>
      <w:r>
        <w:t xml:space="preserve">2 · PERSONAS — quiénes participan</w:t>
      </w:r>
      <w:bookmarkEnd w:id="28"/>
    </w:p>
    <w:p>
      <w:pPr>
        <w:pStyle w:val="Heading3"/>
      </w:pPr>
      <w:bookmarkStart w:id="29" w:name="roles-fundadores"/>
      <w:r>
        <w:t xml:space="preserve">Roles fundadores</w:t>
      </w:r>
      <w:bookmarkEnd w:id="29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CEO — Negocio y estrategia:</w:t>
      </w:r>
      <w:r>
        <w:t xml:space="preserve"> </w:t>
      </w:r>
      <w:r>
        <w:t xml:space="preserve">visión global, financiamiento, alianzas, valorización.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CSO — Ciencia y tecnología:</w:t>
      </w:r>
      <w:r>
        <w:t xml:space="preserve"> </w:t>
      </w:r>
      <w:r>
        <w:t xml:space="preserve">rigor científico, I+D, plataforma técnica, manufactura y escalado.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CPO — Producto y consumidor:</w:t>
      </w:r>
      <w:r>
        <w:t xml:space="preserve"> </w:t>
      </w:r>
      <w:r>
        <w:t xml:space="preserve">formulación, experiencia, product-market fit, foco en las necesidades del cliente.</w:t>
      </w:r>
    </w:p>
    <w:p>
      <w:pPr>
        <w:pStyle w:val="Heading3"/>
      </w:pPr>
      <w:bookmarkStart w:id="30" w:name="estructuras-de-soporte"/>
      <w:r>
        <w:t xml:space="preserve">Estructuras de soporte</w:t>
      </w:r>
      <w:bookmarkEnd w:id="30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Comité (3 cofounders):</w:t>
      </w:r>
      <w:r>
        <w:t xml:space="preserve"> </w:t>
      </w:r>
      <w:r>
        <w:t xml:space="preserve">decide propiedad intelectual, pivotes y todo lo que requiera consenso de los fundadores.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Board (5 votos):</w:t>
      </w:r>
      <w:r>
        <w:t xml:space="preserve"> </w:t>
      </w:r>
      <w:r>
        <w:t xml:space="preserve">CEO · CSO · CPO · 1 Director independiente · 1 Inversor principal.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Representantes de unidades de negocio:</w:t>
      </w:r>
      <w:r>
        <w:t xml:space="preserve"> </w:t>
      </w:r>
      <w:r>
        <w:t xml:space="preserve">dan voz a cada unidad en las decisiones que la afectan.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Leads de dominio:</w:t>
      </w:r>
      <w:r>
        <w:t xml:space="preserve"> </w:t>
      </w:r>
      <w:r>
        <w:t xml:space="preserve">ejecutan con la autonomía acordada por dominio (Delegation Poker).</w:t>
      </w:r>
    </w:p>
    <w:p>
      <w:pPr>
        <w:pStyle w:val="Heading3"/>
      </w:pPr>
      <w:bookmarkStart w:id="31" w:name="cuándo-se-involucra-el-board"/>
      <w:r>
        <w:t xml:space="preserve">¿Cuándo se involucra el Board?</w:t>
      </w:r>
      <w:bookmarkEnd w:id="31"/>
    </w:p>
    <w:p>
      <w:pPr>
        <w:pStyle w:val="FirstParagraph"/>
      </w:pPr>
      <w:r>
        <w:t xml:space="preserve">M&amp;A o venta de activos · presupuestos extraordinarios (&gt; $500k) · cambios significativos de estrategia o modelo de negocio · venta o licencia de la IP central.</w:t>
      </w:r>
    </w:p>
    <w:p>
      <w:pPr>
        <w:pStyle w:val="Heading3"/>
      </w:pPr>
      <w:bookmarkStart w:id="32" w:name="qué-mide-el-éxito-de-cada-rol-kpis"/>
      <w:r>
        <w:t xml:space="preserve">Qué mide el éxito de cada rol (KPIs)</w:t>
      </w:r>
      <w:bookmarkEnd w:id="32"/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CEO</w:t>
      </w:r>
      <w:r>
        <w:t xml:space="preserve"> </w:t>
      </w:r>
      <w:r>
        <w:t xml:space="preserve">→ USD levantados (con y sin equity) para asegurar runway, alianzas / LOIs firmados, atraer al mejor equipo posible y foco en relaciones y resultados.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CSO</w:t>
      </w:r>
      <w:r>
        <w:t xml:space="preserve"> </w:t>
      </w:r>
      <w:r>
        <w:t xml:space="preserve">→ eficacia y reproducibilidad científica, robustez de patentes, hitos preclínicos, escalabilidad técnica y calidad GMP.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CPO</w:t>
      </w:r>
      <w:r>
        <w:t xml:space="preserve"> </w:t>
      </w:r>
      <w:r>
        <w:t xml:space="preserve">→ product-market fit, adopción y satisfacción del consumidor, costo por dosis, time-to-market.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procesos-cómo-decidimos"/>
      <w:r>
        <w:t xml:space="preserve">3 · PROCESOS — cómo decidimos</w:t>
      </w:r>
      <w:bookmarkEnd w:id="33"/>
    </w:p>
    <w:p>
      <w:pPr>
        <w:pStyle w:val="Heading3"/>
      </w:pPr>
      <w:bookmarkStart w:id="34" w:name="los-7-niveles-de-delegación"/>
      <w:r>
        <w:t xml:space="preserve">Los 7 niveles de delegación</w:t>
      </w:r>
      <w:bookmarkEnd w:id="34"/>
    </w:p>
    <w:p>
      <w:pPr>
        <w:pStyle w:val="FirstParagraph"/>
      </w:pPr>
      <w:r>
        <w:t xml:space="preserve">Decir → Vender → Consultar → Acordar → Asesorar → Indagar → Delegar.</w:t>
      </w:r>
      <w:r>
        <w:t xml:space="preserve"> </w:t>
      </w:r>
      <w:r>
        <w:rPr>
          <w:i/>
        </w:rPr>
        <w:t xml:space="preserve">El objetivo no es estar siempre en 7, sino elegir el nivel correcto por dominio y subirlo a medida que el equipo gana competencia. La autoridad se conversa, no se asume.</w:t>
      </w:r>
    </w:p>
    <w:p>
      <w:pPr>
        <w:pStyle w:val="Heading3"/>
      </w:pPr>
      <w:bookmarkStart w:id="35" w:name="decisión-por-consentimiento-5-pasos"/>
      <w:r>
        <w:t xml:space="preserve">Decisión por consentimiento (5 pasos)</w:t>
      </w:r>
      <w:bookmarkEnd w:id="35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Propuesta</w:t>
      </w:r>
      <w:r>
        <w:t xml:space="preserve"> </w:t>
      </w:r>
      <w:r>
        <w:t xml:space="preserve">— alguien trae una propuesta concreta (no un problema abierto).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Aclaración</w:t>
      </w:r>
      <w:r>
        <w:t xml:space="preserve"> </w:t>
      </w:r>
      <w:r>
        <w:t xml:space="preserve">— preguntas para entender, sin debatir todavía.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Reacciones</w:t>
      </w:r>
      <w:r>
        <w:t xml:space="preserve"> </w:t>
      </w:r>
      <w:r>
        <w:t xml:space="preserve">— cada quien reacciona brevemente.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Objeciones</w:t>
      </w:r>
      <w:r>
        <w:t xml:space="preserve"> </w:t>
      </w:r>
      <w:r>
        <w:t xml:space="preserve">— ¿hay objeción argumentada y seria (riesgo real), no una preferencia?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Integrar &amp; decidir</w:t>
      </w:r>
      <w:r>
        <w:t xml:space="preserve"> </w:t>
      </w:r>
      <w:r>
        <w:t xml:space="preserve">— sin objeción válida, pasa; con objeción, se ajusta.</w:t>
      </w:r>
    </w:p>
    <w:p>
      <w:pPr>
        <w:pStyle w:val="FirstParagraph"/>
      </w:pPr>
      <w:r>
        <w:rPr>
          <w:i/>
        </w:rPr>
        <w:t xml:space="preserve">Consentimiento ≠ consenso. Buscamos</w:t>
      </w:r>
      <w:r>
        <w:rPr>
          <w:i/>
        </w:rPr>
        <w:t xml:space="preserve"> </w:t>
      </w:r>
      <w:r>
        <w:rPr>
          <w:i/>
        </w:rPr>
        <w:t xml:space="preserve">“</w:t>
      </w:r>
      <w:r>
        <w:rPr>
          <w:i/>
        </w:rPr>
        <w:t xml:space="preserve">suficientemente bueno para avanzar, seguro para probar</w:t>
      </w:r>
      <w:r>
        <w:rPr>
          <w:i/>
        </w:rPr>
        <w:t xml:space="preserve">”</w:t>
      </w:r>
      <w:r>
        <w:rPr>
          <w:i/>
        </w:rPr>
        <w:t xml:space="preserve"> </w:t>
      </w:r>
      <w:r>
        <w:rPr>
          <w:i/>
        </w:rPr>
        <w:t xml:space="preserve">(safe-enough-to-try) y revisar, antes que la decisión perfecta.</w:t>
      </w:r>
    </w:p>
    <w:p>
      <w:pPr>
        <w:pStyle w:val="Heading3"/>
      </w:pPr>
      <w:bookmarkStart w:id="36" w:name="resolución-de-desacuerdos-4-pasos"/>
      <w:r>
        <w:t xml:space="preserve">Resolución de desacuerdos (4 pasos)</w:t>
      </w:r>
      <w:bookmarkEnd w:id="36"/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Discusión abierta</w:t>
      </w:r>
      <w:r>
        <w:t xml:space="preserve"> </w:t>
      </w:r>
      <w:r>
        <w:t xml:space="preserve">— cada quien expone perspectiva y datos.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Volver al propósito y al hito</w:t>
      </w:r>
      <w:r>
        <w:t xml:space="preserve"> </w:t>
      </w:r>
      <w:r>
        <w:t xml:space="preserve">— ¿qué opción reduce más el riesgo del próximo hito y maximiza aprendizaje?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Decide el dueño</w:t>
      </w:r>
      <w:r>
        <w:t xml:space="preserve"> </w:t>
      </w:r>
      <w:r>
        <w:t xml:space="preserve">— según el nivel de delegación acordado del dominio.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Si persiste</w:t>
      </w:r>
      <w:r>
        <w:t xml:space="preserve"> </w:t>
      </w:r>
      <w:r>
        <w:t xml:space="preserve">— se eleva al Comité y, en última instancia, al Board.</w:t>
      </w:r>
    </w:p>
    <w:p>
      <w:pPr>
        <w:pStyle w:val="Heading3"/>
      </w:pPr>
      <w:bookmarkStart w:id="37" w:name="X444d919e6be2745ccd2906a8d19243a84fd0667"/>
      <w:r>
        <w:t xml:space="preserve">Escalera de aprobación de gasto</w:t>
      </w:r>
      <w:r>
        <w:t xml:space="preserve"> </w:t>
      </w:r>
      <w:r>
        <w:rPr>
          <w:i/>
        </w:rPr>
        <w:t xml:space="preserve">(montos placeholder)</w:t>
      </w:r>
      <w:bookmarkEnd w:id="3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Monto (USD)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Quién aprueba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Nivel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Hasta 5.000</w:t>
            </w:r>
          </w:p>
        </w:tc>
        <w:tc>
          <w:p>
            <w:pPr>
              <w:pStyle w:val="Compact"/>
              <w:jc w:val="left"/>
            </w:pPr>
            <w:r>
              <w:t xml:space="preserve">Responsable del dominio</w:t>
            </w:r>
          </w:p>
        </w:tc>
        <w:tc>
          <w:p>
            <w:pPr>
              <w:pStyle w:val="Compact"/>
              <w:jc w:val="left"/>
            </w:pPr>
            <w:r>
              <w:t xml:space="preserve">7 — decide y ejecuta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5.000 – 25.000</w:t>
            </w:r>
          </w:p>
        </w:tc>
        <w:tc>
          <w:p>
            <w:pPr>
              <w:pStyle w:val="Compact"/>
              <w:jc w:val="left"/>
            </w:pPr>
            <w:r>
              <w:t xml:space="preserve">Responsable + CEO</w:t>
            </w:r>
          </w:p>
        </w:tc>
        <w:tc>
          <w:p>
            <w:pPr>
              <w:pStyle w:val="Compact"/>
              <w:jc w:val="left"/>
            </w:pPr>
            <w:r>
              <w:t xml:space="preserve">6 — decide e informa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25.000 – 100.000</w:t>
            </w:r>
          </w:p>
        </w:tc>
        <w:tc>
          <w:p>
            <w:pPr>
              <w:pStyle w:val="Compact"/>
              <w:jc w:val="left"/>
            </w:pPr>
            <w:r>
              <w:t xml:space="preserve">CEO + otro cofounder</w:t>
            </w:r>
          </w:p>
        </w:tc>
        <w:tc>
          <w:p>
            <w:pPr>
              <w:pStyle w:val="Compact"/>
              <w:jc w:val="left"/>
            </w:pPr>
            <w:r>
              <w:t xml:space="preserve">4 — se acuerda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100.000 – 500.000</w:t>
            </w:r>
          </w:p>
        </w:tc>
        <w:tc>
          <w:p>
            <w:pPr>
              <w:pStyle w:val="Compact"/>
              <w:jc w:val="left"/>
            </w:pPr>
            <w:r>
              <w:t xml:space="preserve">Comité (3 cofounders)</w:t>
            </w:r>
          </w:p>
        </w:tc>
        <w:tc>
          <w:p>
            <w:pPr>
              <w:pStyle w:val="Compact"/>
              <w:jc w:val="left"/>
            </w:pPr>
            <w:r>
              <w:t xml:space="preserve">consentimiento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&gt; 500.000 / venta-licencia IP</w:t>
            </w:r>
          </w:p>
        </w:tc>
        <w:tc>
          <w:p>
            <w:pPr>
              <w:pStyle w:val="Compact"/>
              <w:jc w:val="left"/>
            </w:pPr>
            <w:r>
              <w:t xml:space="preserve">Board</w:t>
            </w:r>
          </w:p>
        </w:tc>
        <w:tc>
          <w:p>
            <w:pPr>
              <w:pStyle w:val="Compact"/>
              <w:jc w:val="left"/>
            </w:pPr>
            <w:r>
              <w:t xml:space="preserve">consentimiento ampliado</w:t>
            </w:r>
          </w:p>
        </w:tc>
      </w:tr>
    </w:tbl>
    <w:p>
      <w:pPr>
        <w:pStyle w:val="Heading3"/>
      </w:pPr>
      <w:bookmarkStart w:id="38" w:name="prácticas-rutinas-con-foco-específico"/>
      <w:r>
        <w:t xml:space="preserve">Prácticas (rutinas con foco específico)</w:t>
      </w:r>
      <w:bookmarkEnd w:id="38"/>
    </w:p>
    <w:p>
      <w:pPr>
        <w:pStyle w:val="FirstParagraph"/>
      </w:pPr>
      <w:r>
        <w:t xml:space="preserve">Delegation Poker para fijar niveles por dominio · Tablero de delegación vivo · Revisión de niveles en retrospectivas · Revisión periódica del marco a medida que crece la empresa.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9" w:name="foco-faro"/>
      <w:r>
        <w:t xml:space="preserve">FOCO &amp; FARO</w:t>
      </w:r>
      <w:bookmarkEnd w:id="39"/>
    </w:p>
    <w:p>
      <w:pPr>
        <w:pStyle w:val="FirstParagraph"/>
      </w:pPr>
      <w:r>
        <w:rPr>
          <w:b/>
        </w:rPr>
        <w:t xml:space="preserve">FOCO — criterio de éxito de la gobernanza</w:t>
      </w:r>
      <w:r>
        <w:t xml:space="preserve"> </w:t>
      </w:r>
      <w:r>
        <w:t xml:space="preserve">Cada decisión se toma al nivel correcto y a la velocidad correcta: autonomía sin perder alineación, sin cuellos de botella. El marco funciona si</w:t>
      </w:r>
      <w:r>
        <w:t xml:space="preserve"> </w:t>
      </w:r>
      <w:r>
        <w:rPr>
          <w:b/>
        </w:rPr>
        <w:t xml:space="preserve">reduce el riesgo del próximo hito crítico y acelera la ejecución</w:t>
      </w:r>
      <w:r>
        <w:t xml:space="preserve"> </w:t>
      </w:r>
      <w:r>
        <w:t xml:space="preserve">en lugar de frenarla.</w:t>
      </w:r>
    </w:p>
    <w:p>
      <w:pPr>
        <w:pStyle w:val="BodyText"/>
      </w:pPr>
      <w:r>
        <w:rPr>
          <w:b/>
        </w:rPr>
        <w:t xml:space="preserve">FARO — los 3 valores clave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Confianza</w:t>
      </w:r>
      <w:r>
        <w:t xml:space="preserve"> </w:t>
      </w:r>
      <w:r>
        <w:t xml:space="preserve">— delegamos y respaldamos; la autoridad se conversa, no se asume.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Transparencia</w:t>
      </w:r>
      <w:r>
        <w:t xml:space="preserve"> </w:t>
      </w:r>
      <w:r>
        <w:t xml:space="preserve">— información científica y financiera abierta, sin asimetrías.</w:t>
      </w:r>
    </w:p>
    <w:p>
      <w:pPr>
        <w:numPr>
          <w:ilvl w:val="0"/>
          <w:numId w:val="1006"/>
        </w:numPr>
        <w:pStyle w:val="Compact"/>
      </w:pPr>
      <w:r>
        <w:rPr>
          <w:b/>
        </w:rPr>
        <w:t xml:space="preserve">Mejora continua</w:t>
      </w:r>
      <w:r>
        <w:t xml:space="preserve"> </w:t>
      </w:r>
      <w:r>
        <w:t xml:space="preserve">— tomar las mejores decisiones en ciclos cortos para incrementar adaptabilidad y aprendizaje.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0" w:name="anexo-implementación-taller-p2p-125-min"/>
      <w:r>
        <w:t xml:space="preserve">Anexo — Implementación (taller P2P, ~125 min)</w:t>
      </w:r>
      <w:bookmarkEnd w:id="40"/>
    </w:p>
    <w:p>
      <w:pPr>
        <w:pStyle w:val="FirstParagraph"/>
      </w:pPr>
      <w:r>
        <w:t xml:space="preserve">Para operativizar el marco usamos</w:t>
      </w:r>
      <w:r>
        <w:t xml:space="preserve"> </w:t>
      </w:r>
      <w:r>
        <w:rPr>
          <w:b/>
        </w:rPr>
        <w:t xml:space="preserve">Purpose-to-Practice (P2P)</w:t>
      </w:r>
      <w:r>
        <w:t xml:space="preserve"> </w:t>
      </w:r>
      <w:r>
        <w:t xml:space="preserve">con la dinámica</w:t>
      </w:r>
      <w:r>
        <w:t xml:space="preserve"> </w:t>
      </w:r>
      <w:r>
        <w:rPr>
          <w:b/>
        </w:rPr>
        <w:t xml:space="preserve">1-2-4-All</w:t>
      </w:r>
      <w:r>
        <w:t xml:space="preserve">: se parte del Propósito como brújula y se co-construyen Principios, Participantes, Estructura y Prácticas. No es una imposición, es una construcción colectiva que se revisa a medida que la empresa crece.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Nota de reutilización (skill): este playbook usa el esqueleto estándar —</w:t>
      </w:r>
      <w:r>
        <w:rPr>
          <w:i/>
        </w:rPr>
        <w:t xml:space="preserve"> </w:t>
      </w:r>
      <w:r>
        <w:rPr>
          <w:b/>
          <w:i/>
        </w:rPr>
        <w:t xml:space="preserve">verbo + pregunta (portada DECIDIR) → 3 P (Prioridades · Personas · Procesos) → banner FOCO + FARO</w:t>
      </w:r>
      <w:r>
        <w:rPr>
          <w:i/>
        </w:rPr>
        <w:t xml:space="preserve">. El mismo molde sirve para otros ejes (Comunicar, Financiar, Vincular, Producir, Administrar) cambiando solo el contenido.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2026-06-18T18:06:49Z</dcterms:created>
  <dcterms:modified xsi:type="dcterms:W3CDTF">2026-06-18T18:06:49Z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