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Internacionalización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  <w:r>
        <w:t xml:space="preserve"> </w:t>
      </w:r>
      <w:r>
        <w:t xml:space="preserve">LatAm</w:t>
      </w:r>
    </w:p>
    <w:bookmarkStart w:id="27" w:name="pg"/>
    <w:p>
      <w:pPr>
        <w:pStyle w:val="FirstParagraph"/>
      </w:pPr>
      <w:r>
        <w:t xml:space="preserve">Playbook · Flavant · Internacionalización LatAm</w:t>
      </w:r>
    </w:p>
    <w:p>
      <w:pPr>
        <w:pStyle w:val="Heading1"/>
      </w:pPr>
      <w:bookmarkStart w:id="20" w:name="cómo-entramos-a-cada-mercado"/>
      <w:r>
        <w:t xml:space="preserve">Cómo entramos a cada mercado</w:t>
      </w:r>
      <w:bookmarkEnd w:id="20"/>
    </w:p>
    <w:p>
      <w:pPr>
        <w:pStyle w:val="FirstParagraph"/>
      </w:pPr>
      <w:r>
        <w:t xml:space="preserve">El manual de expansión de Equol: entrada por Argentina/Uruguay y expansión regional, un país por vez, con financiamiento decreciente y evidencia local.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Llevar el equol a las mujeres de LatAm que no lo producen, empezando por</w:t>
      </w:r>
      <w:r>
        <w:t xml:space="preserve"> </w:t>
      </w:r>
      <w:r>
        <w:rPr>
          <w:b/>
        </w:rPr>
        <w:t xml:space="preserve">Argentina y Uruguay</w:t>
      </w:r>
      <w:r>
        <w:t xml:space="preserve"> </w:t>
      </w:r>
      <w:r>
        <w:t xml:space="preserve">y expandiendo a la región.</w:t>
      </w:r>
    </w:p>
    <w:p>
      <w:pPr>
        <w:numPr>
          <w:ilvl w:val="0"/>
          <w:numId w:val="1001"/>
        </w:numPr>
        <w:pStyle w:val="Compact"/>
      </w:pPr>
      <w:r>
        <w:t xml:space="preserve">Usar LatAm como</w:t>
      </w:r>
      <w:r>
        <w:t xml:space="preserve"> </w:t>
      </w:r>
      <w:r>
        <w:rPr>
          <w:b/>
        </w:rPr>
        <w:t xml:space="preserve">puente</w:t>
      </w:r>
      <w:r>
        <w:t xml:space="preserve">: validar, generar evidencia y aprender barato antes de mercados grandes (US/EU).</w:t>
      </w:r>
    </w:p>
    <w:p>
      <w:pPr>
        <w:pStyle w:val="Heading2"/>
      </w:pPr>
      <w:bookmarkStart w:id="22" w:name="principios"/>
      <w:r>
        <w:t xml:space="preserve">2</w:t>
      </w:r>
      <w:r>
        <w:t xml:space="preserve"> </w:t>
      </w:r>
      <w:r>
        <w:t xml:space="preserve">Principios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Evidencia local antes de escalar</w:t>
      </w:r>
      <w:r>
        <w:t xml:space="preserve"> </w:t>
      </w:r>
      <w:r>
        <w:t xml:space="preserve">en cada mercado.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Financiamiento decreciente por país</w:t>
      </w:r>
      <w:r>
        <w:t xml:space="preserve"> </w:t>
      </w:r>
      <w:r>
        <w:t xml:space="preserve">para forzar sostenibilidad.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Un dueño por país:</w:t>
      </w:r>
      <w:r>
        <w:t xml:space="preserve"> </w:t>
      </w:r>
      <w:r>
        <w:t xml:space="preserve">alguien responsable de la entrada.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Gate por hito:</w:t>
      </w:r>
      <w:r>
        <w:t xml:space="preserve"> </w:t>
      </w:r>
      <w:r>
        <w:t xml:space="preserve">se invierte el siguiente tramo solo si se cumplió el anterior.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t xml:space="preserve">Lead de expansión (global)</w:t>
      </w:r>
    </w:p>
    <w:p>
      <w:pPr>
        <w:pStyle w:val="BodyText"/>
      </w:pPr>
      <w:r>
        <w:t xml:space="preserve">Prioriza países, define el plan, asegura recursos y coherencia.</w:t>
      </w:r>
    </w:p>
    <w:p>
      <w:pPr>
        <w:pStyle w:val="BodyText"/>
      </w:pPr>
      <w:r>
        <w:t xml:space="preserve">Partner / distribuidor local</w:t>
      </w:r>
    </w:p>
    <w:p>
      <w:pPr>
        <w:pStyle w:val="BodyText"/>
      </w:pPr>
      <w:r>
        <w:t xml:space="preserve">Aporta canal y conocimiento de mercado.</w:t>
      </w:r>
    </w:p>
    <w:p>
      <w:pPr>
        <w:pStyle w:val="BodyText"/>
      </w:pPr>
      <w:r>
        <w:t xml:space="preserve">Champion / KOL local</w:t>
      </w:r>
    </w:p>
    <w:p>
      <w:pPr>
        <w:pStyle w:val="BodyText"/>
      </w:pPr>
      <w:r>
        <w:t xml:space="preserve">Prescriptor referente que valida y difunde.</w:t>
      </w:r>
    </w:p>
    <w:p>
      <w:pPr>
        <w:pStyle w:val="BodyText"/>
      </w:pPr>
      <w:r>
        <w:t xml:space="preserve">Regulatorio &amp; comercial</w:t>
      </w:r>
    </w:p>
    <w:p>
      <w:pPr>
        <w:pStyle w:val="BodyText"/>
      </w:pPr>
      <w:r>
        <w:t xml:space="preserve">Dossier de registro y go-to-market por país.</w:t>
      </w:r>
    </w:p>
    <w:p>
      <w:pPr>
        <w:pStyle w:val="Heading2"/>
      </w:pPr>
      <w:bookmarkStart w:id="24" w:name="estructuras"/>
      <w:r>
        <w:t xml:space="preserve">4</w:t>
      </w:r>
      <w:r>
        <w:t xml:space="preserve"> </w:t>
      </w:r>
      <w:r>
        <w:t xml:space="preserve">Estructuras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Comité de expansión</w:t>
      </w:r>
      <w:r>
        <w:t xml:space="preserve"> </w:t>
      </w:r>
      <w:r>
        <w:t xml:space="preserve">— prioriza países y decide gates de inversión.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Etapas por país</w:t>
      </w:r>
      <w:r>
        <w:t xml:space="preserve"> </w:t>
      </w:r>
      <w:r>
        <w:t xml:space="preserve">— entrada → consolidación → contribución (con financiamiento decreciente).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Tablero por país</w:t>
      </w:r>
      <w:r>
        <w:t xml:space="preserve"> </w:t>
      </w:r>
      <w:r>
        <w:t xml:space="preserve">— KPIs de registro, prescriptores, ventas y adopción.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Entrar a un país (7 pasos)</w:t>
      </w:r>
    </w:p>
    <w:p>
      <w:pPr>
        <w:numPr>
          <w:ilvl w:val="0"/>
          <w:numId w:val="1005"/>
        </w:numPr>
        <w:pStyle w:val="Compact"/>
      </w:pPr>
      <w:r>
        <w:t xml:space="preserve">Inteligencia de mercado &amp; regulatoria.</w:t>
      </w:r>
    </w:p>
    <w:p>
      <w:pPr>
        <w:numPr>
          <w:ilvl w:val="0"/>
          <w:numId w:val="1005"/>
        </w:numPr>
        <w:pStyle w:val="Compact"/>
      </w:pPr>
      <w:r>
        <w:t xml:space="preserve">Partner / distribuidor local.</w:t>
      </w:r>
    </w:p>
    <w:p>
      <w:pPr>
        <w:numPr>
          <w:ilvl w:val="0"/>
          <w:numId w:val="1005"/>
        </w:numPr>
        <w:pStyle w:val="Compact"/>
      </w:pPr>
      <w:r>
        <w:t xml:space="preserve">Champion / prescriptor referente.</w:t>
      </w:r>
    </w:p>
    <w:p>
      <w:pPr>
        <w:numPr>
          <w:ilvl w:val="0"/>
          <w:numId w:val="1005"/>
        </w:numPr>
        <w:pStyle w:val="Compact"/>
      </w:pPr>
      <w:r>
        <w:t xml:space="preserve">Representación / equipo mínimo.</w:t>
      </w:r>
    </w:p>
    <w:p>
      <w:pPr>
        <w:numPr>
          <w:ilvl w:val="0"/>
          <w:numId w:val="1005"/>
        </w:numPr>
        <w:pStyle w:val="Compact"/>
      </w:pPr>
      <w:r>
        <w:t xml:space="preserve">Dossier &amp; registro.</w:t>
      </w:r>
    </w:p>
    <w:p>
      <w:pPr>
        <w:numPr>
          <w:ilvl w:val="0"/>
          <w:numId w:val="1005"/>
        </w:numPr>
        <w:pStyle w:val="Compact"/>
      </w:pPr>
      <w:r>
        <w:t xml:space="preserve">Estrategia comercial &amp; de adopción.</w:t>
      </w:r>
    </w:p>
    <w:p>
      <w:pPr>
        <w:numPr>
          <w:ilvl w:val="0"/>
          <w:numId w:val="1005"/>
        </w:numPr>
        <w:pStyle w:val="Compact"/>
      </w:pPr>
      <w:r>
        <w:t xml:space="preserve">Lanzamiento + medición.</w:t>
      </w:r>
    </w:p>
    <w:p>
      <w:pPr>
        <w:pStyle w:val="FirstParagraph"/>
      </w:pPr>
      <w:r>
        <w:t xml:space="preserve">Priorizar / decidir invertir o parar</w:t>
      </w:r>
    </w:p>
    <w:p>
      <w:pPr>
        <w:numPr>
          <w:ilvl w:val="0"/>
          <w:numId w:val="1006"/>
        </w:numPr>
        <w:pStyle w:val="Compact"/>
      </w:pPr>
      <w:r>
        <w:t xml:space="preserve">Evaluar tamaño, canal y vía regulatoria.</w:t>
      </w:r>
    </w:p>
    <w:p>
      <w:pPr>
        <w:numPr>
          <w:ilvl w:val="0"/>
          <w:numId w:val="1006"/>
        </w:numPr>
        <w:pStyle w:val="Compact"/>
      </w:pPr>
      <w:r>
        <w:t xml:space="preserve">Definir hitos de etapa.</w:t>
      </w:r>
    </w:p>
    <w:p>
      <w:pPr>
        <w:numPr>
          <w:ilvl w:val="0"/>
          <w:numId w:val="1006"/>
        </w:numPr>
        <w:pStyle w:val="Compact"/>
      </w:pPr>
      <w:r>
        <w:t xml:space="preserve">Revisar cumplimiento trimestral.</w:t>
      </w:r>
    </w:p>
    <w:p>
      <w:pPr>
        <w:numPr>
          <w:ilvl w:val="0"/>
          <w:numId w:val="1006"/>
        </w:numPr>
        <w:pStyle w:val="Compact"/>
      </w:pPr>
      <w:r>
        <w:t xml:space="preserve">Liberar el siguiente tramo o pivotar/parar.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Due diligence de mercado</w:t>
      </w:r>
      <w:r>
        <w:t xml:space="preserve"> </w:t>
      </w:r>
      <w:r>
        <w:t xml:space="preserve">antes de comprometer recursos.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Casos faro locales</w:t>
      </w:r>
      <w:r>
        <w:t xml:space="preserve"> </w:t>
      </w:r>
      <w:r>
        <w:t xml:space="preserve">que aceleran la adopción.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Gate por hito</w:t>
      </w:r>
      <w:r>
        <w:t xml:space="preserve"> </w:t>
      </w:r>
      <w:r>
        <w:t xml:space="preserve">en cada tramo de inversión.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Revisión trimestral</w:t>
      </w:r>
      <w:r>
        <w:t xml:space="preserve"> </w:t>
      </w:r>
      <w:r>
        <w:t xml:space="preserve">del tablero por país.</w:t>
      </w:r>
    </w:p>
    <w:p>
      <w:pPr>
        <w:pStyle w:val="FirstParagraph"/>
      </w:pPr>
      <w:r>
        <w:t xml:space="preserve">Marco de entrada / expansión de mercado. Mercado: LatAm regional. Países, montos y prioridades son placeholder — confirmar con el equipo de Flavant. Pieza hermana de la infografía "Plan de Internacionalización — Flavant".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Internacionalización · Flavant LatAm</dc:title>
  <dc:creator/>
  <dc:language>es</dc:language>
  <cp:keywords/>
  <dcterms:created xsi:type="dcterms:W3CDTF">2026-06-17T20:41:19Z</dcterms:created>
  <dcterms:modified xsi:type="dcterms:W3CDTF">2026-06-17T20:41:19Z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