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Playbook</w:t>
      </w:r>
      <w:r>
        <w:t xml:space="preserve"> </w:t>
      </w:r>
      <w:r>
        <w:t xml:space="preserve">—</w:t>
      </w:r>
      <w:r>
        <w:t xml:space="preserve"> </w:t>
      </w:r>
      <w:r>
        <w:t xml:space="preserve">Narrativa</w:t>
      </w:r>
      <w:r>
        <w:t xml:space="preserve"> </w:t>
      </w:r>
      <w:r>
        <w:t xml:space="preserve">Estratégica</w:t>
      </w:r>
      <w:r>
        <w:t xml:space="preserve"> </w:t>
      </w:r>
      <w:r>
        <w:t xml:space="preserve">·</w:t>
      </w:r>
      <w:r>
        <w:t xml:space="preserve"> </w:t>
      </w:r>
      <w:r>
        <w:t xml:space="preserve">Flavant</w:t>
      </w:r>
    </w:p>
    <w:bookmarkStart w:id="27" w:name="pg"/>
    <w:p>
      <w:pPr>
        <w:pStyle w:val="FirstParagraph"/>
      </w:pPr>
      <w:r>
        <w:t xml:space="preserve">Playbook · Flavant (Equoli) · Narrativa Estratégica</w:t>
      </w:r>
    </w:p>
    <w:p>
      <w:pPr>
        <w:pStyle w:val="Heading1"/>
      </w:pPr>
      <w:bookmarkStart w:id="20" w:name="cómo-contamos-la-historia-de-flavant"/>
      <w:r>
        <w:t xml:space="preserve">Cómo contamos la historia de Flavant</w:t>
      </w:r>
      <w:bookmarkEnd w:id="20"/>
    </w:p>
    <w:p>
      <w:pPr>
        <w:pStyle w:val="FirstParagraph"/>
      </w:pPr>
      <w:r>
        <w:t xml:space="preserve">El manual para construir y afilar el pitch. Basado en la narrativa v4 (reencuadre al estrógeno + plataforma de 3 moléculas) y los feedbacks reales de pitch. Marco: Self / Us / Now (Marshall Ganz).</w:t>
      </w:r>
    </w:p>
    <w:p>
      <w:pPr>
        <w:pStyle w:val="Heading2"/>
      </w:pPr>
      <w:bookmarkStart w:id="21" w:name="propósito"/>
      <w:r>
        <w:t xml:space="preserve">1</w:t>
      </w:r>
      <w:r>
        <w:t xml:space="preserve"> </w:t>
      </w:r>
      <w:r>
        <w:t xml:space="preserve">Propósito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Que el inversor</w:t>
      </w:r>
      <w:r>
        <w:t xml:space="preserve"> </w:t>
      </w:r>
      <w:r>
        <w:rPr>
          <w:b/>
        </w:rPr>
        <w:t xml:space="preserve">sienta el problema (el estrógeno) antes</w:t>
      </w:r>
      <w:r>
        <w:t xml:space="preserve"> </w:t>
      </w:r>
      <w:r>
        <w:t xml:space="preserve">de oír una palabra técnica, entienda por qué</w:t>
      </w:r>
      <w:r>
        <w:t xml:space="preserve"> </w:t>
      </w:r>
      <w:r>
        <w:rPr>
          <w:b/>
        </w:rPr>
        <w:t xml:space="preserve">este equipo</w:t>
      </w:r>
      <w:r>
        <w:t xml:space="preserve"> </w:t>
      </w:r>
      <w:r>
        <w:t xml:space="preserve">gana esta ventana, y termine con un</w:t>
      </w:r>
      <w:r>
        <w:t xml:space="preserve"> </w:t>
      </w:r>
      <w:r>
        <w:rPr>
          <w:b/>
        </w:rPr>
        <w:t xml:space="preserve">Ask concreto</w:t>
      </w:r>
      <w:r>
        <w:t xml:space="preserve"> </w:t>
      </w:r>
      <w:r>
        <w:t xml:space="preserve">que sepa cómo responder.</w:t>
      </w:r>
    </w:p>
    <w:p>
      <w:pPr>
        <w:numPr>
          <w:ilvl w:val="0"/>
          <w:numId w:val="1001"/>
        </w:numPr>
        <w:pStyle w:val="Compact"/>
      </w:pPr>
      <w:r>
        <w:t xml:space="preserve">El pitch es la punta del iceberg: una narrativa clara abre la puerta a los 3 meses de trabajo profundo que hay debajo.</w:t>
      </w:r>
    </w:p>
    <w:p>
      <w:pPr>
        <w:pStyle w:val="Heading2"/>
      </w:pPr>
      <w:bookmarkStart w:id="22" w:name="principios-de-los-feedbacks-reales"/>
      <w:r>
        <w:t xml:space="preserve">2</w:t>
      </w:r>
      <w:r>
        <w:t xml:space="preserve"> </w:t>
      </w:r>
      <w:r>
        <w:t xml:space="preserve">Principios (de los feedbacks reales)</w:t>
      </w:r>
      <w:bookmarkEnd w:id="22"/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Abrí por el dolor, no por la máquina.</w:t>
      </w:r>
      <w:r>
        <w:t xml:space="preserve"> </w:t>
      </w:r>
      <w:r>
        <w:t xml:space="preserve">Escena de farmacia, no la tecnología.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El problema es el estrógeno;</w:t>
      </w:r>
      <w:r>
        <w:t xml:space="preserve"> </w:t>
      </w:r>
      <w:r>
        <w:t xml:space="preserve">la menopausia es el primer síntoma. Una causa, muchas enfermedades.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Mostrá el mercado que es tuyo</w:t>
      </w:r>
      <w:r>
        <w:t xml:space="preserve"> </w:t>
      </w:r>
      <w:r>
        <w:t xml:space="preserve">(menopausia no hormonal, B2B), no uno inflado.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Equipo con nombres y razón de ser</w:t>
      </w:r>
      <w:r>
        <w:t xml:space="preserve"> </w:t>
      </w:r>
      <w:r>
        <w:t xml:space="preserve">— dichos al hablar, no solo en el slide.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Datá el “por qué ahora”:</w:t>
      </w:r>
      <w:r>
        <w:t xml:space="preserve"> </w:t>
      </w:r>
      <w:r>
        <w:t xml:space="preserve">el pathway de S-equol se describió en 2022. Consistente slide/guion.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Separá probado de proyectado:</w:t>
      </w:r>
      <w:r>
        <w:t xml:space="preserve"> </w:t>
      </w:r>
      <w:r>
        <w:t xml:space="preserve">rendimiento (8x, 2.5x) medido; costo (11x) proyectado.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Honestidad:</w:t>
      </w:r>
      <w:r>
        <w:t xml:space="preserve"> </w:t>
      </w:r>
      <w:r>
        <w:t xml:space="preserve">clínica (S-equol) vs preclínica (kaempferol/hueso, gliceolinas/cáncer). No prometer oncología pronto.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Cumplí la regla del 10x:</w:t>
      </w:r>
      <w:r>
        <w:t xml:space="preserve"> </w:t>
      </w:r>
      <w:r>
        <w:t xml:space="preserve">11x más barato, 8x más rápido.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SIEMPRE cerrá con el Ask:</w:t>
      </w:r>
      <w:r>
        <w:t xml:space="preserve"> </w:t>
      </w:r>
      <w:r>
        <w:t xml:space="preserve">número + el hito que des-riesga. Sin Ask, el inversor no sabe qué hacer.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Calibrá el Ask al interlocutor</w:t>
      </w:r>
      <w:r>
        <w:t xml:space="preserve"> </w:t>
      </w:r>
      <w:r>
        <w:t xml:space="preserve">(no pedir Serie A a un fondo pre-Seed).</w:t>
      </w:r>
    </w:p>
    <w:p>
      <w:pPr>
        <w:pStyle w:val="Heading2"/>
      </w:pPr>
      <w:bookmarkStart w:id="23" w:name="participantes"/>
      <w:r>
        <w:t xml:space="preserve">3</w:t>
      </w:r>
      <w:r>
        <w:t xml:space="preserve"> </w:t>
      </w:r>
      <w:r>
        <w:t xml:space="preserve">Participantes</w:t>
      </w:r>
      <w:bookmarkEnd w:id="23"/>
    </w:p>
    <w:p>
      <w:pPr>
        <w:pStyle w:val="FirstParagraph"/>
      </w:pPr>
      <w:r>
        <w:t xml:space="preserve">Ceci</w:t>
      </w:r>
    </w:p>
    <w:p>
      <w:pPr>
        <w:pStyle w:val="BodyText"/>
      </w:pPr>
      <w:r>
        <w:t xml:space="preserve">entrega + ciencia</w:t>
      </w:r>
    </w:p>
    <w:p>
      <w:pPr>
        <w:pStyle w:val="BodyText"/>
      </w:pPr>
      <w:r>
        <w:t xml:space="preserve">Cecilia Ortiz da el pitch: 20 años en biología estructural y diseño de enzimas/biosensores. Credibilidad y emoción.</w:t>
      </w:r>
    </w:p>
    <w:p>
      <w:pPr>
        <w:pStyle w:val="BodyText"/>
      </w:pPr>
      <w:r>
        <w:t xml:space="preserve">Equipo = prueba social</w:t>
      </w:r>
    </w:p>
    <w:p>
      <w:pPr>
        <w:pStyle w:val="BodyText"/>
      </w:pPr>
      <w:r>
        <w:t xml:space="preserve">por qué este equipo</w:t>
      </w:r>
    </w:p>
    <w:p>
      <w:pPr>
        <w:pStyle w:val="BodyText"/>
      </w:pPr>
      <w:r>
        <w:t xml:space="preserve">Guillermo (escalado GMP, regulatorio) + asesor Juan Nogales (CNB Madrid, referencia mundial; sus herramientas corren la plataforma).</w:t>
      </w:r>
    </w:p>
    <w:p>
      <w:pPr>
        <w:pStyle w:val="BodyText"/>
      </w:pPr>
      <w:r>
        <w:t xml:space="preserve">Perfil de negocio (Jota)</w:t>
      </w:r>
    </w:p>
    <w:p>
      <w:pPr>
        <w:pStyle w:val="BodyText"/>
      </w:pPr>
      <w:r>
        <w:t xml:space="preserve">estructura + Ask</w:t>
      </w:r>
    </w:p>
    <w:p>
      <w:pPr>
        <w:pStyle w:val="BodyText"/>
      </w:pPr>
      <w:r>
        <w:t xml:space="preserve">Ordena la narrativa, arma el Ask y lo calibra a la audiencia. Deriva lo técnico al equipo en Q&amp;A.</w:t>
      </w:r>
    </w:p>
    <w:p>
      <w:pPr>
        <w:pStyle w:val="Heading2"/>
      </w:pPr>
      <w:bookmarkStart w:id="24" w:name="X61405d57272b3fba5b5e6d0805ec9e8f0dd97b4"/>
      <w:r>
        <w:t xml:space="preserve">4</w:t>
      </w:r>
      <w:r>
        <w:t xml:space="preserve"> </w:t>
      </w:r>
      <w:r>
        <w:t xml:space="preserve">Estructuras (los artefactos — ya en el Data Room)</w:t>
      </w:r>
      <w:bookmarkEnd w:id="24"/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Guion de 3 min ES/EN</w:t>
      </w:r>
      <w:r>
        <w:t xml:space="preserve"> </w:t>
      </w:r>
      <w:r>
        <w:t xml:space="preserve">(delivery script) — abrir por el dolor, cerrar con el Ask.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“Money slide”</w:t>
      </w:r>
      <w:r>
        <w:t xml:space="preserve"> </w:t>
      </w:r>
      <w:r>
        <w:t xml:space="preserve">— la plataforma: 3 fitoestrógenos (S-equol → Kaempferol → Gliceolinas) → 3 mercados → 1 receptor.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Slide 8 — Roadmap &amp; De-risking</w:t>
      </w:r>
      <w:r>
        <w:t xml:space="preserve"> </w:t>
      </w:r>
      <w:r>
        <w:t xml:space="preserve">= la base del Ask (downstream/purificación, regulatorio sin organismos vivos, confirmación del enantiómero S).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Banco de datos con fuentes + apéndice de citas</w:t>
      </w:r>
      <w:r>
        <w:t xml:space="preserve"> </w:t>
      </w:r>
      <w:r>
        <w:t xml:space="preserve">— para sostener claims en Q&amp;A (yield, mercados, % no-productoras).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Elevator pitch</w:t>
      </w:r>
      <w:r>
        <w:t xml:space="preserve"> </w:t>
      </w:r>
      <w:r>
        <w:t xml:space="preserve">y</w:t>
      </w:r>
      <w:r>
        <w:t xml:space="preserve"> </w:t>
      </w:r>
      <w:r>
        <w:rPr>
          <w:b/>
        </w:rPr>
        <w:t xml:space="preserve">nota de prensa del futuro / FAQ DVF</w:t>
      </w:r>
      <w:r>
        <w:t xml:space="preserve"> </w:t>
      </w:r>
      <w:r>
        <w:t xml:space="preserve">— versiones cortas y de visión.</w:t>
      </w:r>
    </w:p>
    <w:p>
      <w:pPr>
        <w:pStyle w:val="Heading2"/>
      </w:pPr>
      <w:bookmarkStart w:id="25" w:name="procesos-clave"/>
      <w:r>
        <w:t xml:space="preserve">5</w:t>
      </w:r>
      <w:r>
        <w:t xml:space="preserve"> </w:t>
      </w:r>
      <w:r>
        <w:t xml:space="preserve">Procesos clave</w:t>
      </w:r>
      <w:bookmarkEnd w:id="25"/>
    </w:p>
    <w:p>
      <w:pPr>
        <w:pStyle w:val="FirstParagraph"/>
      </w:pPr>
      <w:r>
        <w:t xml:space="preserve">Estructurar el relato (Self / Us / Now)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Now / Por qué ahora:</w:t>
      </w:r>
      <w:r>
        <w:t xml:space="preserve"> </w:t>
      </w:r>
      <w:r>
        <w:t xml:space="preserve">el problema (estrógeno) con escena y datos.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Self / Por qué ustedes:</w:t>
      </w:r>
      <w:r>
        <w:t xml:space="preserve"> </w:t>
      </w:r>
      <w:r>
        <w:t xml:space="preserve">equipo + solución con nombres y números.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Us / Qué nos une:</w:t>
      </w:r>
      <w:r>
        <w:t xml:space="preserve"> </w:t>
      </w:r>
      <w:r>
        <w:t xml:space="preserve">el negocio (mercado B2B) + el Ask.</w:t>
      </w:r>
    </w:p>
    <w:p>
      <w:pPr>
        <w:pStyle w:val="FirstParagraph"/>
      </w:pPr>
      <w:r>
        <w:t xml:space="preserve">Iterar el guion</w:t>
      </w:r>
    </w:p>
    <w:p>
      <w:pPr>
        <w:numPr>
          <w:ilvl w:val="0"/>
          <w:numId w:val="1006"/>
        </w:numPr>
        <w:pStyle w:val="Compact"/>
      </w:pPr>
      <w:r>
        <w:t xml:space="preserve">Escribir el guion (sin IA la 1ª vez).</w:t>
      </w:r>
    </w:p>
    <w:p>
      <w:pPr>
        <w:numPr>
          <w:ilvl w:val="0"/>
          <w:numId w:val="1006"/>
        </w:numPr>
        <w:pStyle w:val="Compact"/>
      </w:pPr>
      <w:r>
        <w:t xml:space="preserve">Leer en voz alta; practicar pronunciación EN.</w:t>
      </w:r>
    </w:p>
    <w:p>
      <w:pPr>
        <w:numPr>
          <w:ilvl w:val="0"/>
          <w:numId w:val="1006"/>
        </w:numPr>
        <w:pStyle w:val="Compact"/>
      </w:pPr>
      <w:r>
        <w:t xml:space="preserve">Feedback (Ricky / Damián) → versionar (v2→v3→v4).</w:t>
      </w:r>
    </w:p>
    <w:p>
      <w:pPr>
        <w:numPr>
          <w:ilvl w:val="0"/>
          <w:numId w:val="1006"/>
        </w:numPr>
        <w:pStyle w:val="Compact"/>
      </w:pPr>
      <w:r>
        <w:t xml:space="preserve">Ver pitches de referencia para calibrar.</w:t>
      </w:r>
    </w:p>
    <w:p>
      <w:pPr>
        <w:pStyle w:val="FirstParagraph"/>
      </w:pPr>
      <w:r>
        <w:t xml:space="preserve">Blindar los datos antes del pitch</w:t>
      </w:r>
    </w:p>
    <w:p>
      <w:pPr>
        <w:numPr>
          <w:ilvl w:val="0"/>
          <w:numId w:val="1007"/>
        </w:numPr>
        <w:pStyle w:val="Compact"/>
      </w:pPr>
      <w:r>
        <w:t xml:space="preserve">% no-productoras: elegir 50% (lit.) vs 75% (Data Room) con cita y población.</w:t>
      </w:r>
    </w:p>
    <w:p>
      <w:pPr>
        <w:numPr>
          <w:ilvl w:val="0"/>
          <w:numId w:val="1007"/>
        </w:numPr>
        <w:pStyle w:val="Compact"/>
      </w:pPr>
      <w:r>
        <w:t xml:space="preserve">Fecha 2022 y cálculo del 11x listos.</w:t>
      </w:r>
    </w:p>
    <w:p>
      <w:pPr>
        <w:numPr>
          <w:ilvl w:val="0"/>
          <w:numId w:val="1007"/>
        </w:numPr>
        <w:pStyle w:val="Compact"/>
      </w:pPr>
      <w:r>
        <w:t xml:space="preserve">90%/70% (calidad de vida/productividad): fijar fuente.</w:t>
      </w:r>
    </w:p>
    <w:p>
      <w:pPr>
        <w:numPr>
          <w:ilvl w:val="0"/>
          <w:numId w:val="1007"/>
        </w:numPr>
        <w:pStyle w:val="Compact"/>
      </w:pPr>
      <w:r>
        <w:t xml:space="preserve">Mercados como rangos (“around / north of”).</w:t>
      </w:r>
    </w:p>
    <w:p>
      <w:pPr>
        <w:pStyle w:val="FirstParagraph"/>
      </w:pPr>
      <w:r>
        <w:t xml:space="preserve">Construir y calibrar el Ask</w:t>
      </w:r>
    </w:p>
    <w:p>
      <w:pPr>
        <w:numPr>
          <w:ilvl w:val="0"/>
          <w:numId w:val="1008"/>
        </w:numPr>
        <w:pStyle w:val="Compact"/>
      </w:pPr>
      <w:r>
        <w:t xml:space="preserve">Tomar el hito que des-riesga (slide 8).</w:t>
      </w:r>
    </w:p>
    <w:p>
      <w:pPr>
        <w:numPr>
          <w:ilvl w:val="0"/>
          <w:numId w:val="1008"/>
        </w:numPr>
        <w:pStyle w:val="Compact"/>
      </w:pPr>
      <w:r>
        <w:t xml:space="preserve">Ponerle número (USD X) y para qué.</w:t>
      </w:r>
    </w:p>
    <w:p>
      <w:pPr>
        <w:numPr>
          <w:ilvl w:val="0"/>
          <w:numId w:val="1008"/>
        </w:numPr>
        <w:pStyle w:val="Compact"/>
      </w:pPr>
      <w:r>
        <w:t xml:space="preserve">Matchear el pedido al perfil del fondo en la sala.</w:t>
      </w:r>
    </w:p>
    <w:p>
      <w:pPr>
        <w:numPr>
          <w:ilvl w:val="0"/>
          <w:numId w:val="1008"/>
        </w:numPr>
        <w:pStyle w:val="Compact"/>
      </w:pPr>
      <w:r>
        <w:t xml:space="preserve">Cerrar: número → “ya está pasando, queremos que seas parte”.</w:t>
      </w:r>
    </w:p>
    <w:p>
      <w:pPr>
        <w:pStyle w:val="FirstParagraph"/>
      </w:pPr>
      <w:r>
        <w:t xml:space="preserve">El Ask — la plantilla que faltaba</w:t>
      </w:r>
    </w:p>
    <w:p>
      <w:pPr>
        <w:pStyle w:val="BodyText"/>
      </w:pPr>
      <w:r>
        <w:t xml:space="preserve">“Buscamos</w:t>
      </w:r>
      <w:r>
        <w:t xml:space="preserve"> </w:t>
      </w:r>
      <w:r>
        <w:rPr>
          <w:b/>
        </w:rPr>
        <w:t xml:space="preserve">USD X</w:t>
      </w:r>
      <w:r>
        <w:t xml:space="preserve"> </w:t>
      </w:r>
      <w:r>
        <w:t xml:space="preserve">para llevar el S-equol de laboratorio a validación piloto: cerrar el downstream a costo competitivo, confirmar la pureza del enantiómero S y dejar el proceso listo para GMP. Con eso, el primer acuerdo B2B deja de ser promesa y pasa a ser contrato.”</w:t>
      </w:r>
      <w:r>
        <w:t xml:space="preserve"> </w:t>
      </w:r>
      <w:r>
        <w:rPr>
          <w:i/>
        </w:rPr>
        <w:t xml:space="preserve">El “ya está pasando / queremos que seas parte” va después del número, no en lugar del número.</w:t>
      </w:r>
    </w:p>
    <w:p>
      <w:pPr>
        <w:pStyle w:val="Heading2"/>
      </w:pPr>
      <w:bookmarkStart w:id="26" w:name="prácticas-clave"/>
      <w:r>
        <w:t xml:space="preserve">6</w:t>
      </w:r>
      <w:r>
        <w:t xml:space="preserve"> </w:t>
      </w:r>
      <w:r>
        <w:t xml:space="preserve">Prácticas clave</w:t>
      </w:r>
      <w:bookmarkEnd w:id="26"/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Abrir con una escena</w:t>
      </w:r>
      <w:r>
        <w:t xml:space="preserve"> </w:t>
      </w:r>
      <w:r>
        <w:t xml:space="preserve">concreta (la farmacia).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Tres números, tres comparaciones</w:t>
      </w:r>
      <w:r>
        <w:t xml:space="preserve"> </w:t>
      </w:r>
      <w:r>
        <w:t xml:space="preserve">(8x / 2.5x / 11x).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“Una causa (el receptor), muchas enfermedades”</w:t>
      </w:r>
      <w:r>
        <w:t xml:space="preserve"> </w:t>
      </w:r>
      <w:r>
        <w:t xml:space="preserve">— intonación de contraste.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Nombres del equipo en voz alta</w:t>
      </w:r>
      <w:r>
        <w:t xml:space="preserve">, no solo en el slide.</w:t>
      </w:r>
    </w:p>
    <w:p>
      <w:pPr>
        <w:numPr>
          <w:ilvl w:val="0"/>
          <w:numId w:val="1010"/>
        </w:numPr>
        <w:pStyle w:val="Compact"/>
      </w:pPr>
      <w:r>
        <w:rPr>
          <w:b/>
        </w:rPr>
        <w:t xml:space="preserve">Citas a mano</w:t>
      </w:r>
      <w:r>
        <w:t xml:space="preserve"> </w:t>
      </w:r>
      <w:r>
        <w:t xml:space="preserve">(claim de yield “más del doble del mayor reportado”).</w:t>
      </w:r>
    </w:p>
    <w:p>
      <w:pPr>
        <w:numPr>
          <w:ilvl w:val="0"/>
          <w:numId w:val="1010"/>
        </w:numPr>
        <w:pStyle w:val="Compact"/>
      </w:pPr>
      <w:r>
        <w:rPr>
          <w:b/>
        </w:rPr>
        <w:t xml:space="preserve">Flags honestos:</w:t>
      </w:r>
      <w:r>
        <w:t xml:space="preserve"> </w:t>
      </w:r>
      <w:r>
        <w:t xml:space="preserve">preclínico ≠ clínico; gliceolinas/cáncer = horizonte, no promesa.</w:t>
      </w:r>
    </w:p>
    <w:p>
      <w:pPr>
        <w:numPr>
          <w:ilvl w:val="0"/>
          <w:numId w:val="1010"/>
        </w:numPr>
        <w:pStyle w:val="Compact"/>
      </w:pPr>
      <w:r>
        <w:rPr>
          <w:b/>
        </w:rPr>
        <w:t xml:space="preserve">Sparring:</w:t>
      </w:r>
      <w:r>
        <w:t xml:space="preserve"> </w:t>
      </w:r>
      <w:r>
        <w:t xml:space="preserve">audios diarios en inglés (Damián).</w:t>
      </w:r>
    </w:p>
    <w:p>
      <w:pPr>
        <w:numPr>
          <w:ilvl w:val="0"/>
          <w:numId w:val="1010"/>
        </w:numPr>
        <w:pStyle w:val="Compact"/>
      </w:pPr>
      <w:r>
        <w:rPr>
          <w:b/>
        </w:rPr>
        <w:t xml:space="preserve">Referencias:</w:t>
      </w:r>
      <w:r>
        <w:t xml:space="preserve"> </w:t>
      </w:r>
      <w:r>
        <w:t xml:space="preserve">estudiar pitches que ganaron (CAPUR) vs los que no (Agbo).</w:t>
      </w:r>
    </w:p>
    <w:p>
      <w:pPr>
        <w:pStyle w:val="FirstParagraph"/>
      </w:pPr>
      <w:r>
        <w:t xml:space="preserve">Basado en materiales del Data Room: narrativa v4 “estrógeno”, feedbacks de pitch v4 (ES/EN), guiones y banco de datos. Marco Self/Us/Now (Marshall Ganz). Cifras (8x/2.5x/11x, 2022, % no-productoras, tamaños de mercado) son del pitch y tienen flags abiertos — blindar con fuente antes de uso externo. Pieza hermana de la infografía “Narrativa Estratégica — Flavant”.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Playbook — Narrativa Estratégica · Flavant</dc:title>
  <dc:creator/>
  <dc:language>es</dc:language>
  <cp:keywords/>
  <dcterms:created xsi:type="dcterms:W3CDTF">2026-06-17T20:41:19Z</dcterms:created>
  <dcterms:modified xsi:type="dcterms:W3CDTF">2026-06-17T20:41:19Z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