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Playbook</w:t>
      </w:r>
      <w:r>
        <w:t xml:space="preserve"> </w:t>
      </w:r>
      <w:r>
        <w:t xml:space="preserve">—</w:t>
      </w:r>
      <w:r>
        <w:t xml:space="preserve"> </w:t>
      </w:r>
      <w:r>
        <w:t xml:space="preserve">Paso</w:t>
      </w:r>
      <w:r>
        <w:t xml:space="preserve"> </w:t>
      </w:r>
      <w:r>
        <w:t xml:space="preserve">a</w:t>
      </w:r>
      <w:r>
        <w:t xml:space="preserve"> </w:t>
      </w:r>
      <w:r>
        <w:t xml:space="preserve">paso</w:t>
      </w:r>
      <w:r>
        <w:t xml:space="preserve"> </w:t>
      </w:r>
      <w:r>
        <w:t xml:space="preserve">científico</w:t>
      </w:r>
      <w:r>
        <w:t xml:space="preserve"> </w:t>
      </w:r>
      <w:r>
        <w:t xml:space="preserve">·</w:t>
      </w:r>
      <w:r>
        <w:t xml:space="preserve"> </w:t>
      </w:r>
      <w:r>
        <w:t xml:space="preserve">Flavant</w:t>
      </w:r>
    </w:p>
    <w:bookmarkStart w:id="27" w:name="pg"/>
    <w:p>
      <w:pPr>
        <w:pStyle w:val="FirstParagraph"/>
      </w:pPr>
      <w:r>
        <w:t xml:space="preserve">Playbook · Flavant (Equoli) · Proceso científico paso a paso</w:t>
      </w:r>
    </w:p>
    <w:p>
      <w:pPr>
        <w:pStyle w:val="Heading1"/>
      </w:pPr>
      <w:bookmarkStart w:id="20" w:name="cómo-contamos-cómo-se-hace"/>
      <w:r>
        <w:t xml:space="preserve">Cómo contamos cómo se hace</w:t>
      </w:r>
      <w:bookmarkEnd w:id="20"/>
    </w:p>
    <w:p>
      <w:pPr>
        <w:pStyle w:val="FirstParagraph"/>
      </w:pPr>
      <w:r>
        <w:t xml:space="preserve">El manual para explicar el proceso de forma simple, honesta y a prueba de inversor. Encuadre: biofábrica bacteriana reprogramable. Basado en la sesión técnica Op#1 y la Validación del Data Room.</w:t>
      </w:r>
    </w:p>
    <w:p>
      <w:pPr>
        <w:pStyle w:val="Heading2"/>
      </w:pPr>
      <w:bookmarkStart w:id="21" w:name="propósito"/>
      <w:r>
        <w:t xml:space="preserve">1</w:t>
      </w:r>
      <w:r>
        <w:t xml:space="preserve"> </w:t>
      </w:r>
      <w:r>
        <w:t xml:space="preserve">Propósito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Que cualquiera entienda el proceso sin ser químico, y que lo entienda</w:t>
      </w:r>
      <w:r>
        <w:t xml:space="preserve"> </w:t>
      </w:r>
      <w:r>
        <w:rPr>
          <w:b/>
        </w:rPr>
        <w:t xml:space="preserve">como una fábrica de ingeniería reprogramable</w:t>
      </w:r>
      <w:r>
        <w:t xml:space="preserve">, no como “otra fermentación”.</w:t>
      </w:r>
    </w:p>
    <w:p>
      <w:pPr>
        <w:numPr>
          <w:ilvl w:val="0"/>
          <w:numId w:val="1001"/>
        </w:numPr>
        <w:pStyle w:val="Compact"/>
      </w:pPr>
      <w:r>
        <w:t xml:space="preserve">Distinguir siempre lo</w:t>
      </w:r>
      <w:r>
        <w:t xml:space="preserve"> </w:t>
      </w:r>
      <w:r>
        <w:rPr>
          <w:b/>
        </w:rPr>
        <w:t xml:space="preserve">probado</w:t>
      </w:r>
      <w:r>
        <w:t xml:space="preserve"> </w:t>
      </w:r>
      <w:r>
        <w:t xml:space="preserve">de lo</w:t>
      </w:r>
      <w:r>
        <w:t xml:space="preserve"> </w:t>
      </w:r>
      <w:r>
        <w:rPr>
          <w:b/>
        </w:rPr>
        <w:t xml:space="preserve">proyectado</w:t>
      </w:r>
      <w:r>
        <w:t xml:space="preserve">.</w:t>
      </w:r>
    </w:p>
    <w:p>
      <w:pPr>
        <w:pStyle w:val="Heading2"/>
      </w:pPr>
      <w:bookmarkStart w:id="22" w:name="principios-encuadre-técnico"/>
      <w:r>
        <w:t xml:space="preserve">2</w:t>
      </w:r>
      <w:r>
        <w:t xml:space="preserve"> </w:t>
      </w:r>
      <w:r>
        <w:t xml:space="preserve">Principios (encuadre técnico)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Es una biofábrica bacteriana:</w:t>
      </w:r>
      <w:r>
        <w:t xml:space="preserve"> </w:t>
      </w:r>
      <w:r>
        <w:t xml:space="preserve">cepa industrial GRAS modificada +</w:t>
      </w:r>
      <w:r>
        <w:t xml:space="preserve"> </w:t>
      </w:r>
      <w:r>
        <w:rPr>
          <w:b/>
        </w:rPr>
        <w:t xml:space="preserve">4 enzimas transferidas</w:t>
      </w:r>
      <w:r>
        <w:t xml:space="preserve"> </w:t>
      </w:r>
      <w:r>
        <w:t xml:space="preserve">+</w:t>
      </w:r>
      <w:r>
        <w:t xml:space="preserve"> </w:t>
      </w:r>
      <w:r>
        <w:rPr>
          <w:b/>
        </w:rPr>
        <w:t xml:space="preserve">2 biosensores propios</w:t>
      </w:r>
      <w:r>
        <w:t xml:space="preserve"> </w:t>
      </w:r>
      <w:r>
        <w:t xml:space="preserve">(uno mide el equol en vivo, otro el estado de la bacteria).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No es “cascada de enzimas inmovilizadas”</w:t>
      </w:r>
      <w:r>
        <w:t xml:space="preserve"> </w:t>
      </w:r>
      <w:r>
        <w:t xml:space="preserve">(encuadre viejo y erróneo).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Decir “chasis de ingeniería reprogramable”</w:t>
      </w:r>
      <w:r>
        <w:t xml:space="preserve">, no “fermentación” a secas (eso nos iguala a Otsuka).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Probado (HECHO):</w:t>
      </w:r>
      <w:r>
        <w:t xml:space="preserve"> </w:t>
      </w:r>
      <w:r>
        <w:t xml:space="preserve">equol validado por HPLC; 8x velocidad y 2.5x titers en lab.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Proyectado:</w:t>
      </w:r>
      <w:r>
        <w:t xml:space="preserve"> </w:t>
      </w:r>
      <w:r>
        <w:t xml:space="preserve">≈11x costo vs síntesis química (a escala) y NMR en curso para estándares.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Encuadre macro:</w:t>
      </w:r>
      <w:r>
        <w:t xml:space="preserve"> </w:t>
      </w:r>
      <w:r>
        <w:t xml:space="preserve">el microbioma hace las moléculas más potentes del bienestar — pero es una lotería; nosotros las fabricamos a pedido.</w:t>
      </w:r>
    </w:p>
    <w:p>
      <w:pPr>
        <w:pStyle w:val="Heading2"/>
      </w:pPr>
      <w:bookmarkStart w:id="23" w:name="participantes"/>
      <w:r>
        <w:t xml:space="preserve">3</w:t>
      </w:r>
      <w:r>
        <w:t xml:space="preserve"> </w:t>
      </w:r>
      <w:r>
        <w:t xml:space="preserve">Participantes</w:t>
      </w:r>
      <w:bookmarkEnd w:id="23"/>
    </w:p>
    <w:p>
      <w:pPr>
        <w:pStyle w:val="FirstParagraph"/>
      </w:pPr>
      <w:r>
        <w:t xml:space="preserve">Ceci</w:t>
      </w:r>
    </w:p>
    <w:p>
      <w:pPr>
        <w:pStyle w:val="BodyText"/>
      </w:pPr>
      <w:r>
        <w:t xml:space="preserve">Diseño enzimático y de biosensores; química redox y O₂-tolerancia (20 años).</w:t>
      </w:r>
    </w:p>
    <w:p>
      <w:pPr>
        <w:pStyle w:val="BodyText"/>
      </w:pPr>
      <w:r>
        <w:t xml:space="preserve">Guille</w:t>
      </w:r>
    </w:p>
    <w:p>
      <w:pPr>
        <w:pStyle w:val="BodyText"/>
      </w:pPr>
      <w:r>
        <w:t xml:space="preserve">Escalado industrial bajo GMP y encuadre regulatorio (cepa GRAS = menos fricción).</w:t>
      </w:r>
    </w:p>
    <w:p>
      <w:pPr>
        <w:pStyle w:val="Heading2"/>
      </w:pPr>
      <w:bookmarkStart w:id="24" w:name="estructuras-artefactos"/>
      <w:r>
        <w:t xml:space="preserve">4</w:t>
      </w:r>
      <w:r>
        <w:t xml:space="preserve"> </w:t>
      </w:r>
      <w:r>
        <w:t xml:space="preserve">Estructuras (artefactos)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Diagrama de pasos</w:t>
      </w:r>
      <w:r>
        <w:t xml:space="preserve">: sustrato → chasis reprogramable → biosensores monitorean → equol → purificación/HPLC → NMR → formulación.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Los 2 biosensores</w:t>
      </w:r>
      <w:r>
        <w:t xml:space="preserve"> </w:t>
      </w:r>
      <w:r>
        <w:t xml:space="preserve">como diferencial visible (datos lote a lote que nadie más tiene).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Banco de datos técnicos</w:t>
      </w:r>
      <w:r>
        <w:t xml:space="preserve"> </w:t>
      </w:r>
      <w:r>
        <w:t xml:space="preserve">con el número duro (g/L, ciclos) cuando esté listo.</w:t>
      </w:r>
    </w:p>
    <w:p>
      <w:pPr>
        <w:pStyle w:val="Heading2"/>
      </w:pPr>
      <w:bookmarkStart w:id="25" w:name="procesos-clave"/>
      <w:r>
        <w:t xml:space="preserve">5</w:t>
      </w:r>
      <w:r>
        <w:t xml:space="preserve"> </w:t>
      </w:r>
      <w:r>
        <w:t xml:space="preserve">Procesos clave</w:t>
      </w:r>
      <w:bookmarkEnd w:id="25"/>
    </w:p>
    <w:p>
      <w:pPr>
        <w:pStyle w:val="FirstParagraph"/>
      </w:pPr>
      <w:r>
        <w:t xml:space="preserve">Contar el proceso (simple)</w:t>
      </w:r>
    </w:p>
    <w:p>
      <w:pPr>
        <w:numPr>
          <w:ilvl w:val="0"/>
          <w:numId w:val="1005"/>
        </w:numPr>
        <w:pStyle w:val="Compact"/>
      </w:pPr>
      <w:r>
        <w:t xml:space="preserve">Partir del sustrato (polifenol de soja).</w:t>
      </w:r>
    </w:p>
    <w:p>
      <w:pPr>
        <w:numPr>
          <w:ilvl w:val="0"/>
          <w:numId w:val="1005"/>
        </w:numPr>
        <w:pStyle w:val="Compact"/>
      </w:pPr>
      <w:r>
        <w:t xml:space="preserve">El chasis reprogramable corre la vía con O₂.</w:t>
      </w:r>
    </w:p>
    <w:p>
      <w:pPr>
        <w:numPr>
          <w:ilvl w:val="0"/>
          <w:numId w:val="1005"/>
        </w:numPr>
        <w:pStyle w:val="Compact"/>
      </w:pPr>
      <w:r>
        <w:t xml:space="preserve">Los biosensores vigilan el lote en vivo.</w:t>
      </w:r>
    </w:p>
    <w:p>
      <w:pPr>
        <w:numPr>
          <w:ilvl w:val="0"/>
          <w:numId w:val="1005"/>
        </w:numPr>
        <w:pStyle w:val="Compact"/>
      </w:pPr>
      <w:r>
        <w:t xml:space="preserve">Equol → purificación (HPLC ✓) → estándares (NMR).</w:t>
      </w:r>
    </w:p>
    <w:p>
      <w:pPr>
        <w:numPr>
          <w:ilvl w:val="0"/>
          <w:numId w:val="1005"/>
        </w:numPr>
        <w:pStyle w:val="Compact"/>
      </w:pPr>
      <w:r>
        <w:t xml:space="preserve">Formulación / ingrediente B2B.</w:t>
      </w:r>
    </w:p>
    <w:p>
      <w:pPr>
        <w:pStyle w:val="FirstParagraph"/>
      </w:pPr>
      <w:r>
        <w:t xml:space="preserve">Simplificar sin maldición del conocimiento</w:t>
      </w:r>
    </w:p>
    <w:p>
      <w:pPr>
        <w:numPr>
          <w:ilvl w:val="0"/>
          <w:numId w:val="1006"/>
        </w:numPr>
        <w:pStyle w:val="Compact"/>
      </w:pPr>
      <w:r>
        <w:t xml:space="preserve">Analogía concreta: “como el 60% de la vainilla del mundo se hace por biosíntesis”.</w:t>
      </w:r>
    </w:p>
    <w:p>
      <w:pPr>
        <w:numPr>
          <w:ilvl w:val="0"/>
          <w:numId w:val="1006"/>
        </w:numPr>
        <w:pStyle w:val="Compact"/>
      </w:pPr>
      <w:r>
        <w:t xml:space="preserve">Una idea por frase.</w:t>
      </w:r>
    </w:p>
    <w:p>
      <w:pPr>
        <w:numPr>
          <w:ilvl w:val="0"/>
          <w:numId w:val="1006"/>
        </w:numPr>
        <w:pStyle w:val="Compact"/>
      </w:pPr>
      <w:r>
        <w:t xml:space="preserve">Derivar el detalle profundo al apéndice / Q&amp;A.</w:t>
      </w:r>
    </w:p>
    <w:p>
      <w:pPr>
        <w:pStyle w:val="Heading2"/>
      </w:pPr>
      <w:bookmarkStart w:id="26" w:name="prácticas-clave"/>
      <w:r>
        <w:t xml:space="preserve">6</w:t>
      </w:r>
      <w:r>
        <w:t xml:space="preserve"> </w:t>
      </w:r>
      <w:r>
        <w:t xml:space="preserve">Prácticas clave</w:t>
      </w:r>
      <w:bookmarkEnd w:id="26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Decir “biofábrica reprogramable”</w:t>
      </w:r>
      <w:r>
        <w:t xml:space="preserve">, no “fermentación”.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Mostrar los biosensores</w:t>
      </w:r>
      <w:r>
        <w:t xml:space="preserve"> </w:t>
      </w:r>
      <w:r>
        <w:t xml:space="preserve">como el activo (foso de datos).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HPLC = validado;</w:t>
      </w:r>
      <w:r>
        <w:t xml:space="preserve"> </w:t>
      </w:r>
      <w:r>
        <w:t xml:space="preserve">NMR = en curso. Ser consistente.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Separar probado de proyectado</w:t>
      </w:r>
      <w:r>
        <w:t xml:space="preserve"> </w:t>
      </w:r>
      <w:r>
        <w:t xml:space="preserve">en cada número.</w:t>
      </w:r>
    </w:p>
    <w:p>
      <w:pPr>
        <w:pStyle w:val="FirstParagraph"/>
      </w:pPr>
      <w:r>
        <w:t xml:space="preserve">Fuente: Data Room — Op#1 (8/5), Equoli_Validacion_Pitch, Second Pitch v4. HPLC/8x/2.5x = HECHO (lab); 11x = proyección. Pieza hermana de la infografía “Cómo Flavant produce flavonoides bioactivos”.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Playbook — Paso a paso científico · Flavant</dc:title>
  <dc:creator/>
  <dc:language>es</dc:language>
  <cp:keywords/>
  <dcterms:created xsi:type="dcterms:W3CDTF">2026-06-17T20:41:19Z</dcterms:created>
  <dcterms:modified xsi:type="dcterms:W3CDTF">2026-06-17T20:41:19Z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