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Playbook</w:t>
      </w:r>
      <w:r>
        <w:t xml:space="preserve"> </w:t>
      </w:r>
      <w:r>
        <w:t xml:space="preserve">—</w:t>
      </w:r>
      <w:r>
        <w:t xml:space="preserve"> </w:t>
      </w:r>
      <w:r>
        <w:t xml:space="preserve">Árbol</w:t>
      </w:r>
      <w:r>
        <w:t xml:space="preserve"> </w:t>
      </w:r>
      <w:r>
        <w:t xml:space="preserve">de</w:t>
      </w:r>
      <w:r>
        <w:t xml:space="preserve"> </w:t>
      </w:r>
      <w:r>
        <w:t xml:space="preserve">decisiones</w:t>
      </w:r>
      <w:r>
        <w:t xml:space="preserve"> </w:t>
      </w:r>
      <w:r>
        <w:t xml:space="preserve">I+D</w:t>
      </w:r>
      <w:r>
        <w:t xml:space="preserve"> </w:t>
      </w:r>
      <w:r>
        <w:t xml:space="preserve">·</w:t>
      </w:r>
      <w:r>
        <w:t xml:space="preserve"> </w:t>
      </w:r>
      <w:r>
        <w:t xml:space="preserve">Flavant</w:t>
      </w:r>
    </w:p>
    <w:bookmarkStart w:id="27" w:name="pg"/>
    <w:p>
      <w:pPr>
        <w:pStyle w:val="FirstParagraph"/>
      </w:pPr>
      <w:r>
        <w:t xml:space="preserve">Playbook · Flavant (Equoli) · Árbol de decisiones / Roadmap I+D</w:t>
      </w:r>
    </w:p>
    <w:p>
      <w:pPr>
        <w:pStyle w:val="Heading1"/>
      </w:pPr>
      <w:bookmarkStart w:id="20" w:name="cómo-decidimos-en-la-incertidumbre"/>
      <w:r>
        <w:t xml:space="preserve">Cómo decidimos en la incertidumbre</w:t>
      </w:r>
      <w:bookmarkEnd w:id="20"/>
    </w:p>
    <w:p>
      <w:pPr>
        <w:pStyle w:val="FirstParagraph"/>
      </w:pPr>
      <w:r>
        <w:t xml:space="preserve">El manual del árbol como herramienta de alineación del equipo y “destino compartido” — no como pronóstico. Marco GRIDX “Managing Uncertainty”. Basado en el Árbol de decisiones del Data Room.</w:t>
      </w:r>
    </w:p>
    <w:p>
      <w:pPr>
        <w:pStyle w:val="Heading2"/>
      </w:pPr>
      <w:bookmarkStart w:id="21" w:name="propósito"/>
      <w:r>
        <w:t xml:space="preserve">1</w:t>
      </w:r>
      <w:r>
        <w:t xml:space="preserve"> </w:t>
      </w:r>
      <w:r>
        <w:t xml:space="preserve">Propósito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Alinear a Ceci, Guille y Jota sobre</w:t>
      </w:r>
      <w:r>
        <w:t xml:space="preserve"> </w:t>
      </w:r>
      <w:r>
        <w:rPr>
          <w:b/>
        </w:rPr>
        <w:t xml:space="preserve">qué sabemos, qué sabemos que no sabemos, y dónde está la frontera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Orientar la exploración hacia afuera (las oportunidades grandes), no a pulir el centro.</w:t>
      </w:r>
    </w:p>
    <w:p>
      <w:pPr>
        <w:pStyle w:val="Heading2"/>
      </w:pPr>
      <w:bookmarkStart w:id="22" w:name="principios-gridx"/>
      <w:r>
        <w:t xml:space="preserve">2</w:t>
      </w:r>
      <w:r>
        <w:t xml:space="preserve"> </w:t>
      </w:r>
      <w:r>
        <w:t xml:space="preserve">Principios (GRIDX)</w:t>
      </w:r>
      <w:bookmarkEnd w:id="22"/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El árbol no es un mapa del futuro</w:t>
      </w:r>
      <w:r>
        <w:t xml:space="preserve"> </w:t>
      </w:r>
      <w:r>
        <w:t xml:space="preserve">— el futuro viaja ramas que no están dibujadas.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Ordena lo que sabemos</w:t>
      </w:r>
      <w:r>
        <w:t xml:space="preserve">, nombra</w:t>
      </w:r>
      <w:r>
        <w:t xml:space="preserve"> </w:t>
      </w:r>
      <w:r>
        <w:rPr>
          <w:b/>
        </w:rPr>
        <w:t xml:space="preserve">lo que sabemos que no sabemos</w:t>
      </w:r>
      <w:r>
        <w:t xml:space="preserve">, y trae a la vista</w:t>
      </w:r>
      <w:r>
        <w:t xml:space="preserve"> </w:t>
      </w:r>
      <w:r>
        <w:rPr>
          <w:b/>
        </w:rPr>
        <w:t xml:space="preserve">la frontera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Reencuadre canónico:</w:t>
      </w:r>
      <w:r>
        <w:t xml:space="preserve"> </w:t>
      </w:r>
      <w:r>
        <w:t xml:space="preserve">plataforma de</w:t>
      </w:r>
      <w:r>
        <w:t xml:space="preserve"> </w:t>
      </w:r>
      <w:r>
        <w:rPr>
          <w:b/>
        </w:rPr>
        <w:t xml:space="preserve">metabolitos del microbioma derivados de polifenoles de la dieta</w:t>
      </w:r>
      <w:r>
        <w:t xml:space="preserve"> </w:t>
      </w:r>
      <w:r>
        <w:t xml:space="preserve">(no “de flavonoides”).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Etiquetar todo:</w:t>
      </w:r>
      <w:r>
        <w:t xml:space="preserve"> </w:t>
      </w:r>
      <w:r>
        <w:t xml:space="preserve">HECHO · PROYECCIÓN · HIPÓTESIS.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La pregunta de Stämm:</w:t>
      </w:r>
      <w:r>
        <w:t xml:space="preserve"> </w:t>
      </w:r>
      <w:r>
        <w:t xml:space="preserve">ante un nodo de azar, no “¿qué probabilidad?” sino</w:t>
      </w:r>
      <w:r>
        <w:t xml:space="preserve"> </w:t>
      </w:r>
      <w:r>
        <w:rPr>
          <w:b/>
        </w:rPr>
        <w:t xml:space="preserve">“¿qué forma de payoff? ¿cuánto pierdo si falla, cuánto gano si funciona?”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La frontera se atiende con exposición, no con predicción.</w:t>
      </w:r>
    </w:p>
    <w:p>
      <w:pPr>
        <w:pStyle w:val="Heading2"/>
      </w:pPr>
      <w:bookmarkStart w:id="23" w:name="participantes-los-3-dominios"/>
      <w:r>
        <w:t xml:space="preserve">3</w:t>
      </w:r>
      <w:r>
        <w:t xml:space="preserve"> </w:t>
      </w:r>
      <w:r>
        <w:t xml:space="preserve">Participantes (los 3 dominios)</w:t>
      </w:r>
      <w:bookmarkEnd w:id="23"/>
    </w:p>
    <w:p>
      <w:pPr>
        <w:pStyle w:val="FirstParagraph"/>
      </w:pPr>
      <w:r>
        <w:t xml:space="preserve">Lo que sabemos · Ceci</w:t>
      </w:r>
    </w:p>
    <w:p>
      <w:pPr>
        <w:pStyle w:val="BodyText"/>
      </w:pPr>
      <w:r>
        <w:t xml:space="preserve">Química redox y O₂-tolerancia (20 años); equol validado por HPLC; 8x / 2.5x en lab.</w:t>
      </w:r>
    </w:p>
    <w:p>
      <w:pPr>
        <w:pStyle w:val="BodyText"/>
      </w:pPr>
      <w:r>
        <w:t xml:space="preserve">Lo que sabemos que no · equipo</w:t>
      </w:r>
    </w:p>
    <w:p>
      <w:pPr>
        <w:pStyle w:val="BodyText"/>
      </w:pPr>
      <w:r>
        <w:t xml:space="preserve">¿2º metabolito? ¿E. coli es la mejor vía? ¿demanda B2B? ¿costo baja a escala? = los nodos de azar.</w:t>
      </w:r>
    </w:p>
    <w:p>
      <w:pPr>
        <w:pStyle w:val="BodyText"/>
      </w:pPr>
      <w:r>
        <w:t xml:space="preserve">La frontera · exposición</w:t>
      </w:r>
    </w:p>
    <w:p>
      <w:pPr>
        <w:pStyle w:val="BodyText"/>
      </w:pPr>
      <w:r>
        <w:t xml:space="preserve">Shifts regulatorios, competidor nuevo, 2ª vía del equol, estratégico que entra.</w:t>
      </w:r>
    </w:p>
    <w:p>
      <w:pPr>
        <w:pStyle w:val="Heading2"/>
      </w:pPr>
      <w:bookmarkStart w:id="24" w:name="estructuras-artefactos"/>
      <w:r>
        <w:t xml:space="preserve">4</w:t>
      </w:r>
      <w:r>
        <w:t xml:space="preserve"> </w:t>
      </w:r>
      <w:r>
        <w:t xml:space="preserve">Estructuras (artefactos)</w:t>
      </w:r>
      <w:bookmarkEnd w:id="24"/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El árbol</w:t>
      </w:r>
      <w:r>
        <w:t xml:space="preserve"> </w:t>
      </w:r>
      <w:r>
        <w:t xml:space="preserve">con sus nodos de azar y, al lado de cada uno,</w:t>
      </w:r>
      <w:r>
        <w:t xml:space="preserve"> </w:t>
      </w:r>
      <w:r>
        <w:rPr>
          <w:b/>
        </w:rPr>
        <w:t xml:space="preserve">el test más barato</w:t>
      </w:r>
      <w:r>
        <w:t xml:space="preserve"> </w:t>
      </w:r>
      <w:r>
        <w:t xml:space="preserve">que lo ataca.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Hitos de-risking pre-Seed (slide 8):</w:t>
      </w:r>
      <w:r>
        <w:t xml:space="preserve"> </w:t>
      </w:r>
      <w:r>
        <w:t xml:space="preserve">downstream/purificación a costo competitivo, regulatorio sin organismos vivos, confirmación del enantiómero S.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La terna a validar técnicamente:</w:t>
      </w:r>
      <w:r>
        <w:t xml:space="preserve"> </w:t>
      </w:r>
      <w:r>
        <w:t xml:space="preserve">S-equol (probada) + enterolactona + urolitina A — ¿corren en el mismo chasis GRAS?</w:t>
      </w:r>
    </w:p>
    <w:p>
      <w:pPr>
        <w:pStyle w:val="Heading2"/>
      </w:pPr>
      <w:bookmarkStart w:id="25" w:name="procesos-clave"/>
      <w:r>
        <w:t xml:space="preserve">5</w:t>
      </w:r>
      <w:r>
        <w:t xml:space="preserve"> </w:t>
      </w:r>
      <w:r>
        <w:t xml:space="preserve">Procesos clave</w:t>
      </w:r>
      <w:bookmarkEnd w:id="25"/>
    </w:p>
    <w:p>
      <w:pPr>
        <w:pStyle w:val="FirstParagraph"/>
      </w:pPr>
      <w:r>
        <w:t xml:space="preserve">Atacar un nodo de azar</w:t>
      </w:r>
    </w:p>
    <w:p>
      <w:pPr>
        <w:numPr>
          <w:ilvl w:val="0"/>
          <w:numId w:val="1005"/>
        </w:numPr>
        <w:pStyle w:val="Compact"/>
      </w:pPr>
      <w:r>
        <w:t xml:space="preserve">Nombrar la incógnita.</w:t>
      </w:r>
    </w:p>
    <w:p>
      <w:pPr>
        <w:numPr>
          <w:ilvl w:val="0"/>
          <w:numId w:val="1005"/>
        </w:numPr>
        <w:pStyle w:val="Compact"/>
      </w:pPr>
      <w:r>
        <w:t xml:space="preserve">Definir el test más barato que la ataca.</w:t>
      </w:r>
    </w:p>
    <w:p>
      <w:pPr>
        <w:numPr>
          <w:ilvl w:val="0"/>
          <w:numId w:val="1005"/>
        </w:numPr>
        <w:pStyle w:val="Compact"/>
      </w:pPr>
      <w:r>
        <w:t xml:space="preserve">Mirar la forma del payoff (pérdida acotada / ganancia abierta).</w:t>
      </w:r>
    </w:p>
    <w:p>
      <w:pPr>
        <w:numPr>
          <w:ilvl w:val="0"/>
          <w:numId w:val="1005"/>
        </w:numPr>
        <w:pStyle w:val="Compact"/>
      </w:pPr>
      <w:r>
        <w:t xml:space="preserve">Decidir exposición, no certeza.</w:t>
      </w:r>
    </w:p>
    <w:p>
      <w:pPr>
        <w:pStyle w:val="FirstParagraph"/>
      </w:pPr>
      <w:r>
        <w:t xml:space="preserve">Tests más baratos (ejemplos)</w:t>
      </w:r>
    </w:p>
    <w:p>
      <w:pPr>
        <w:numPr>
          <w:ilvl w:val="0"/>
          <w:numId w:val="1006"/>
        </w:numPr>
        <w:pStyle w:val="Compact"/>
      </w:pPr>
      <w:r>
        <w:t xml:space="preserve">¿2º metabolito? → correr una vía análoga a escala mínima.</w:t>
      </w:r>
    </w:p>
    <w:p>
      <w:pPr>
        <w:numPr>
          <w:ilvl w:val="0"/>
          <w:numId w:val="1006"/>
        </w:numPr>
        <w:pStyle w:val="Compact"/>
      </w:pPr>
      <w:r>
        <w:t xml:space="preserve">¿costo a escala? → ensayo chico que mida el parámetro crítico.</w:t>
      </w:r>
    </w:p>
    <w:p>
      <w:pPr>
        <w:numPr>
          <w:ilvl w:val="0"/>
          <w:numId w:val="1006"/>
        </w:numPr>
        <w:pStyle w:val="Compact"/>
      </w:pPr>
      <w:r>
        <w:t xml:space="preserve">¿demanda B2B? → entrevistas + LOIs.</w:t>
      </w:r>
    </w:p>
    <w:p>
      <w:pPr>
        <w:numPr>
          <w:ilvl w:val="0"/>
          <w:numId w:val="1006"/>
        </w:numPr>
        <w:pStyle w:val="Compact"/>
      </w:pPr>
      <w:r>
        <w:t xml:space="preserve">¿2ª vía clínica? → no invertir aún, mantener como opción de TAM.</w:t>
      </w:r>
    </w:p>
    <w:p>
      <w:pPr>
        <w:pStyle w:val="Heading2"/>
      </w:pPr>
      <w:bookmarkStart w:id="26" w:name="prácticas-clave"/>
      <w:r>
        <w:t xml:space="preserve">6</w:t>
      </w:r>
      <w:r>
        <w:t xml:space="preserve"> </w:t>
      </w:r>
      <w:r>
        <w:t xml:space="preserve">Prácticas clave</w:t>
      </w:r>
      <w:bookmarkEnd w:id="26"/>
    </w:p>
    <w:p>
      <w:pPr>
        <w:numPr>
          <w:ilvl w:val="0"/>
          <w:numId w:val="1007"/>
        </w:numPr>
        <w:pStyle w:val="Compact"/>
      </w:pPr>
      <w:r>
        <w:rPr>
          <w:b/>
        </w:rPr>
        <w:t xml:space="preserve">Nombrar las incógnitas en voz alta</w:t>
      </w:r>
      <w:r>
        <w:t xml:space="preserve"> </w:t>
      </w:r>
      <w:r>
        <w:t xml:space="preserve">— eso ya es valor.</w:t>
      </w:r>
    </w:p>
    <w:p>
      <w:pPr>
        <w:numPr>
          <w:ilvl w:val="0"/>
          <w:numId w:val="1007"/>
        </w:numPr>
        <w:pStyle w:val="Compact"/>
      </w:pPr>
      <w:r>
        <w:rPr>
          <w:b/>
        </w:rPr>
        <w:t xml:space="preserve">Mantener optionality como exposición</w:t>
      </w:r>
      <w:r>
        <w:t xml:space="preserve">: 2ª vía anti-androgénica (DHT), nutrición animal — nombradas, no prometidas.</w:t>
      </w:r>
    </w:p>
    <w:p>
      <w:pPr>
        <w:numPr>
          <w:ilvl w:val="0"/>
          <w:numId w:val="1008"/>
        </w:numPr>
        <w:pStyle w:val="Compact"/>
      </w:pPr>
      <w:r>
        <w:rPr>
          <w:b/>
        </w:rPr>
        <w:t xml:space="preserve">Etiquetar evidencia</w:t>
      </w:r>
      <w:r>
        <w:t xml:space="preserve"> </w:t>
      </w:r>
      <w:r>
        <w:t xml:space="preserve">en cada rama (HECHO/PROYECCIÓN/HIPÓTESIS).</w:t>
      </w:r>
    </w:p>
    <w:p>
      <w:pPr>
        <w:numPr>
          <w:ilvl w:val="0"/>
          <w:numId w:val="1008"/>
        </w:numPr>
        <w:pStyle w:val="Compact"/>
      </w:pPr>
      <w:r>
        <w:rPr>
          <w:b/>
        </w:rPr>
        <w:t xml:space="preserve">Usar el árbol para alinear</w:t>
      </w:r>
      <w:r>
        <w:t xml:space="preserve">, no para “probar” que acertamos.</w:t>
      </w:r>
    </w:p>
    <w:p>
      <w:pPr>
        <w:pStyle w:val="FirstParagraph"/>
      </w:pPr>
      <w:r>
        <w:t xml:space="preserve">Fuente: Data Room — Equoli_Arbol_Decisiones_100x_v2 (marco GRIDX “Managing Uncertainty”). Ramas y 100x = escenarios/hipótesis; tamaños de mercado con fuente. La 2ª vía (DHT) es opcionalidad sin validación clínica. Pieza hermana de la infografía “Árbol de Decisiones / Roadmap I+D — Flavant”.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Playbook — Árbol de decisiones I+D · Flavant</dc:title>
  <dc:creator/>
  <dc:language>es</dc:language>
  <cp:keywords/>
  <dcterms:created xsi:type="dcterms:W3CDTF">2026-06-17T20:41:19Z</dcterms:created>
  <dcterms:modified xsi:type="dcterms:W3CDTF">2026-06-17T20:41:19Z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