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Playbook</w:t>
      </w:r>
      <w:r>
        <w:t xml:space="preserve"> </w:t>
      </w:r>
      <w:r>
        <w:t xml:space="preserve">—</w:t>
      </w:r>
      <w:r>
        <w:t xml:space="preserve"> </w:t>
      </w:r>
      <w:r>
        <w:t xml:space="preserve">Teoría</w:t>
      </w:r>
      <w:r>
        <w:t xml:space="preserve"> </w:t>
      </w:r>
      <w:r>
        <w:t xml:space="preserve">de</w:t>
      </w:r>
      <w:r>
        <w:t xml:space="preserve"> </w:t>
      </w:r>
      <w:r>
        <w:t xml:space="preserve">Cambio</w:t>
      </w:r>
      <w:r>
        <w:t xml:space="preserve"> </w:t>
      </w:r>
      <w:r>
        <w:t xml:space="preserve">·</w:t>
      </w:r>
      <w:r>
        <w:t xml:space="preserve"> </w:t>
      </w:r>
      <w:r>
        <w:t xml:space="preserve">Flavant</w:t>
      </w:r>
    </w:p>
    <w:bookmarkStart w:id="27" w:name="pg"/>
    <w:p>
      <w:pPr>
        <w:pStyle w:val="FirstParagraph"/>
      </w:pPr>
      <w:r>
        <w:t xml:space="preserve">Playbook · Flavant · Teoría de Cambio (curva de adopción)</w:t>
      </w:r>
    </w:p>
    <w:p>
      <w:pPr>
        <w:pStyle w:val="Heading1"/>
      </w:pPr>
      <w:bookmarkStart w:id="20" w:name="cómo-producimos-el-cambio"/>
      <w:r>
        <w:t xml:space="preserve">Cómo producimos el cambio</w:t>
      </w:r>
      <w:bookmarkEnd w:id="20"/>
    </w:p>
    <w:p>
      <w:pPr>
        <w:pStyle w:val="FirstParagraph"/>
      </w:pPr>
      <w:r>
        <w:t xml:space="preserve">El manual de uso de nuestra teoría de cambio: del nicho innovador al estándar de cuidado, cruzando el punto de inflexión del 16%.</w:t>
      </w:r>
    </w:p>
    <w:p>
      <w:pPr>
        <w:pStyle w:val="Heading2"/>
      </w:pPr>
      <w:bookmarkStart w:id="21" w:name="propósito"/>
      <w:r>
        <w:t xml:space="preserve">1</w:t>
      </w:r>
      <w:r>
        <w:t xml:space="preserve"> </w:t>
      </w:r>
      <w:r>
        <w:t xml:space="preserve">Propósito</w:t>
      </w:r>
      <w:bookmarkEnd w:id="21"/>
    </w:p>
    <w:p>
      <w:pPr>
        <w:numPr>
          <w:ilvl w:val="0"/>
          <w:numId w:val="1001"/>
        </w:numPr>
        <w:pStyle w:val="Compact"/>
      </w:pPr>
      <w:r>
        <w:t xml:space="preserve">Que el equol de Flavant pase de ser una novedad a ser la</w:t>
      </w:r>
      <w:r>
        <w:t xml:space="preserve"> </w:t>
      </w:r>
      <w:r>
        <w:rPr>
          <w:b/>
        </w:rPr>
        <w:t xml:space="preserve">vía estándar</w:t>
      </w:r>
      <w:r>
        <w:t xml:space="preserve"> </w:t>
      </w:r>
      <w:r>
        <w:t xml:space="preserve">para las ~75% de mujeres que no lo producen.</w:t>
      </w:r>
    </w:p>
    <w:p>
      <w:pPr>
        <w:numPr>
          <w:ilvl w:val="0"/>
          <w:numId w:val="1001"/>
        </w:numPr>
        <w:pStyle w:val="Compact"/>
      </w:pPr>
      <w:r>
        <w:t xml:space="preserve">Creemos que el cambio no se logra por volumen de marketing, sino</w:t>
      </w:r>
      <w:r>
        <w:t xml:space="preserve"> </w:t>
      </w:r>
      <w:r>
        <w:rPr>
          <w:b/>
        </w:rPr>
        <w:t xml:space="preserve">cruzando el 16% de adopción</w:t>
      </w:r>
      <w:r>
        <w:t xml:space="preserve"> </w:t>
      </w:r>
      <w:r>
        <w:t xml:space="preserve">(innovadoras + early adopters): ahí se vuelve autosostenido.</w:t>
      </w:r>
    </w:p>
    <w:p>
      <w:pPr>
        <w:pStyle w:val="Heading2"/>
      </w:pPr>
      <w:bookmarkStart w:id="22" w:name="principios"/>
      <w:r>
        <w:t xml:space="preserve">2</w:t>
      </w:r>
      <w:r>
        <w:t xml:space="preserve"> </w:t>
      </w:r>
      <w:r>
        <w:t xml:space="preserve">Principios</w:t>
      </w:r>
      <w:bookmarkEnd w:id="22"/>
    </w:p>
    <w:p>
      <w:pPr>
        <w:numPr>
          <w:ilvl w:val="0"/>
          <w:numId w:val="1002"/>
        </w:numPr>
        <w:pStyle w:val="Compact"/>
      </w:pPr>
      <w:r>
        <w:rPr>
          <w:b/>
        </w:rPr>
        <w:t xml:space="preserve">Evidencia antes que escala:</w:t>
      </w:r>
      <w:r>
        <w:t xml:space="preserve"> </w:t>
      </w:r>
      <w:r>
        <w:t xml:space="preserve">sin datos clínicos no hay adopción seria.</w:t>
      </w:r>
    </w:p>
    <w:p>
      <w:pPr>
        <w:numPr>
          <w:ilvl w:val="0"/>
          <w:numId w:val="1002"/>
        </w:numPr>
        <w:pStyle w:val="Compact"/>
      </w:pPr>
      <w:r>
        <w:rPr>
          <w:b/>
        </w:rPr>
        <w:t xml:space="preserve">El prescriptor es la palanca:</w:t>
      </w:r>
      <w:r>
        <w:t xml:space="preserve"> </w:t>
      </w:r>
      <w:r>
        <w:t xml:space="preserve">ginecología y nutrición mueven a la mayoría.</w:t>
      </w:r>
    </w:p>
    <w:p>
      <w:pPr>
        <w:numPr>
          <w:ilvl w:val="0"/>
          <w:numId w:val="1003"/>
        </w:numPr>
        <w:pStyle w:val="Compact"/>
      </w:pPr>
      <w:r>
        <w:rPr>
          <w:b/>
        </w:rPr>
        <w:t xml:space="preserve">Foco en el abismo:</w:t>
      </w:r>
      <w:r>
        <w:t xml:space="preserve"> </w:t>
      </w:r>
      <w:r>
        <w:t xml:space="preserve">la energía va a cruzar de early adopters a mayoría temprana.</w:t>
      </w:r>
    </w:p>
    <w:p>
      <w:pPr>
        <w:numPr>
          <w:ilvl w:val="0"/>
          <w:numId w:val="1003"/>
        </w:numPr>
        <w:pStyle w:val="Compact"/>
      </w:pPr>
      <w:r>
        <w:rPr>
          <w:b/>
        </w:rPr>
        <w:t xml:space="preserve">Casos faro:</w:t>
      </w:r>
      <w:r>
        <w:t xml:space="preserve"> </w:t>
      </w:r>
      <w:r>
        <w:t xml:space="preserve">mostrar transformaciones reales inspira más que argumentos.</w:t>
      </w:r>
    </w:p>
    <w:p>
      <w:pPr>
        <w:pStyle w:val="Heading2"/>
      </w:pPr>
      <w:bookmarkStart w:id="23" w:name="participantes-actores-del-cambio"/>
      <w:r>
        <w:t xml:space="preserve">3</w:t>
      </w:r>
      <w:r>
        <w:t xml:space="preserve"> </w:t>
      </w:r>
      <w:r>
        <w:t xml:space="preserve">Participantes (actores del cambio)</w:t>
      </w:r>
      <w:bookmarkEnd w:id="23"/>
    </w:p>
    <w:p>
      <w:pPr>
        <w:pStyle w:val="FirstParagraph"/>
      </w:pPr>
      <w:r>
        <w:t xml:space="preserve">Innovadoras &amp; médicos early-tech</w:t>
      </w:r>
    </w:p>
    <w:p>
      <w:pPr>
        <w:pStyle w:val="BodyText"/>
      </w:pPr>
      <w:r>
        <w:t xml:space="preserve">Primeras usuarias y prescriptores; prueban y dan feedback.</w:t>
      </w:r>
    </w:p>
    <w:p>
      <w:pPr>
        <w:pStyle w:val="BodyText"/>
      </w:pPr>
      <w:r>
        <w:t xml:space="preserve">Early adopters / prescriptores</w:t>
      </w:r>
    </w:p>
    <w:p>
      <w:pPr>
        <w:pStyle w:val="BodyText"/>
      </w:pPr>
      <w:r>
        <w:t xml:space="preserve">Ginecólogos, nutricionistas, comunidades femtech que validan y difunden.</w:t>
      </w:r>
    </w:p>
    <w:p>
      <w:pPr>
        <w:pStyle w:val="BodyText"/>
      </w:pPr>
      <w:r>
        <w:t xml:space="preserve">Equipo Flavant</w:t>
      </w:r>
    </w:p>
    <w:p>
      <w:pPr>
        <w:pStyle w:val="BodyText"/>
      </w:pPr>
      <w:r>
        <w:t xml:space="preserve">Genera evidencia, producto y disponibilidad; activa la red.</w:t>
      </w:r>
    </w:p>
    <w:p>
      <w:pPr>
        <w:pStyle w:val="BodyText"/>
      </w:pPr>
      <w:r>
        <w:t xml:space="preserve">Partners de canal &amp; KOLs</w:t>
      </w:r>
    </w:p>
    <w:p>
      <w:pPr>
        <w:pStyle w:val="BodyText"/>
      </w:pPr>
      <w:r>
        <w:t xml:space="preserve">Amplifican y acercan el equol a la mayoría.</w:t>
      </w:r>
    </w:p>
    <w:p>
      <w:pPr>
        <w:pStyle w:val="Heading2"/>
      </w:pPr>
      <w:bookmarkStart w:id="24" w:name="estructuras"/>
      <w:r>
        <w:t xml:space="preserve">4</w:t>
      </w:r>
      <w:r>
        <w:t xml:space="preserve"> </w:t>
      </w:r>
      <w:r>
        <w:t xml:space="preserve">Estructuras</w:t>
      </w:r>
      <w:bookmarkEnd w:id="24"/>
    </w:p>
    <w:p>
      <w:pPr>
        <w:numPr>
          <w:ilvl w:val="0"/>
          <w:numId w:val="1004"/>
        </w:numPr>
        <w:pStyle w:val="Compact"/>
      </w:pPr>
      <w:r>
        <w:rPr>
          <w:b/>
        </w:rPr>
        <w:t xml:space="preserve">Cuerpo de evidencia</w:t>
      </w:r>
      <w:r>
        <w:t xml:space="preserve"> </w:t>
      </w:r>
      <w:r>
        <w:t xml:space="preserve">— estudios, datos de uso y casos; el activo que habilita la adopción.</w:t>
      </w:r>
    </w:p>
    <w:p>
      <w:pPr>
        <w:numPr>
          <w:ilvl w:val="0"/>
          <w:numId w:val="1004"/>
        </w:numPr>
        <w:pStyle w:val="Compact"/>
      </w:pPr>
      <w:r>
        <w:rPr>
          <w:b/>
        </w:rPr>
        <w:t xml:space="preserve">Red de prescriptores</w:t>
      </w:r>
      <w:r>
        <w:t xml:space="preserve"> </w:t>
      </w:r>
      <w:r>
        <w:t xml:space="preserve">— comunidad de médicos referentes que recomiendan.</w:t>
      </w:r>
    </w:p>
    <w:p>
      <w:pPr>
        <w:numPr>
          <w:ilvl w:val="0"/>
          <w:numId w:val="1004"/>
        </w:numPr>
        <w:pStyle w:val="Compact"/>
      </w:pPr>
      <w:r>
        <w:rPr>
          <w:b/>
        </w:rPr>
        <w:t xml:space="preserve">Tablero de adopción</w:t>
      </w:r>
      <w:r>
        <w:t xml:space="preserve"> </w:t>
      </w:r>
      <w:r>
        <w:t xml:space="preserve">— medir en qué cohorte estamos y la distancia al 16%.</w:t>
      </w:r>
    </w:p>
    <w:p>
      <w:pPr>
        <w:numPr>
          <w:ilvl w:val="0"/>
          <w:numId w:val="1004"/>
        </w:numPr>
        <w:pStyle w:val="Compact"/>
      </w:pPr>
      <w:r>
        <w:rPr>
          <w:b/>
        </w:rPr>
        <w:t xml:space="preserve">Cadena de impacto</w:t>
      </w:r>
      <w:r>
        <w:t xml:space="preserve"> </w:t>
      </w:r>
      <w:r>
        <w:t xml:space="preserve">— la lógica insumos → actividades → productos → resultados → impacto; ver infografía. Distinguir output (lo que entregamos) de outcome (lo que cambia).</w:t>
      </w:r>
    </w:p>
    <w:p>
      <w:pPr>
        <w:pStyle w:val="Heading2"/>
      </w:pPr>
      <w:bookmarkStart w:id="25" w:name="procesos-clave"/>
      <w:r>
        <w:t xml:space="preserve">5</w:t>
      </w:r>
      <w:r>
        <w:t xml:space="preserve"> </w:t>
      </w:r>
      <w:r>
        <w:t xml:space="preserve">Procesos clave</w:t>
      </w:r>
      <w:bookmarkEnd w:id="25"/>
    </w:p>
    <w:p>
      <w:pPr>
        <w:pStyle w:val="FirstParagraph"/>
      </w:pPr>
      <w:r>
        <w:t xml:space="preserve">Mover gente por la curva</w:t>
      </w:r>
    </w:p>
    <w:p>
      <w:pPr>
        <w:numPr>
          <w:ilvl w:val="0"/>
          <w:numId w:val="1005"/>
        </w:numPr>
        <w:pStyle w:val="Compact"/>
      </w:pPr>
      <w:r>
        <w:t xml:space="preserve">Generar evidencia con innovadoras.</w:t>
      </w:r>
    </w:p>
    <w:p>
      <w:pPr>
        <w:numPr>
          <w:ilvl w:val="0"/>
          <w:numId w:val="1005"/>
        </w:numPr>
        <w:pStyle w:val="Compact"/>
      </w:pPr>
      <w:r>
        <w:t xml:space="preserve">Activar prescriptores (early adopters).</w:t>
      </w:r>
    </w:p>
    <w:p>
      <w:pPr>
        <w:numPr>
          <w:ilvl w:val="0"/>
          <w:numId w:val="1005"/>
        </w:numPr>
        <w:pStyle w:val="Compact"/>
      </w:pPr>
      <w:r>
        <w:t xml:space="preserve">Cruzar el abismo con casos faro.</w:t>
      </w:r>
    </w:p>
    <w:p>
      <w:pPr>
        <w:numPr>
          <w:ilvl w:val="0"/>
          <w:numId w:val="1005"/>
        </w:numPr>
        <w:pStyle w:val="Compact"/>
      </w:pPr>
      <w:r>
        <w:t xml:space="preserve">Disponibilidad + recomendación → mayoría.</w:t>
      </w:r>
    </w:p>
    <w:p>
      <w:pPr>
        <w:pStyle w:val="FirstParagraph"/>
      </w:pPr>
      <w:r>
        <w:t xml:space="preserve">Medir el cambio</w:t>
      </w:r>
    </w:p>
    <w:p>
      <w:pPr>
        <w:numPr>
          <w:ilvl w:val="0"/>
          <w:numId w:val="1006"/>
        </w:numPr>
        <w:pStyle w:val="Compact"/>
      </w:pPr>
      <w:r>
        <w:t xml:space="preserve">Definir el segmento objetivo.</w:t>
      </w:r>
    </w:p>
    <w:p>
      <w:pPr>
        <w:numPr>
          <w:ilvl w:val="0"/>
          <w:numId w:val="1006"/>
        </w:numPr>
        <w:pStyle w:val="Compact"/>
      </w:pPr>
      <w:r>
        <w:t xml:space="preserve">Medir % de adopción por cohorte.</w:t>
      </w:r>
    </w:p>
    <w:p>
      <w:pPr>
        <w:numPr>
          <w:ilvl w:val="0"/>
          <w:numId w:val="1006"/>
        </w:numPr>
        <w:pStyle w:val="Compact"/>
      </w:pPr>
      <w:r>
        <w:t xml:space="preserve">Revisar distancia al punto de inflexión.</w:t>
      </w:r>
    </w:p>
    <w:p>
      <w:pPr>
        <w:numPr>
          <w:ilvl w:val="0"/>
          <w:numId w:val="1006"/>
        </w:numPr>
        <w:pStyle w:val="Compact"/>
      </w:pPr>
      <w:r>
        <w:t xml:space="preserve">Reasignar foco según la brecha.</w:t>
      </w:r>
    </w:p>
    <w:p>
      <w:pPr>
        <w:pStyle w:val="Heading2"/>
      </w:pPr>
      <w:bookmarkStart w:id="26" w:name="prácticas-clave"/>
      <w:r>
        <w:t xml:space="preserve">6</w:t>
      </w:r>
      <w:r>
        <w:t xml:space="preserve"> </w:t>
      </w:r>
      <w:r>
        <w:t xml:space="preserve">Prácticas clave</w:t>
      </w:r>
      <w:bookmarkEnd w:id="26"/>
    </w:p>
    <w:p>
      <w:pPr>
        <w:numPr>
          <w:ilvl w:val="0"/>
          <w:numId w:val="1007"/>
        </w:numPr>
        <w:pStyle w:val="Compact"/>
      </w:pPr>
      <w:r>
        <w:rPr>
          <w:b/>
        </w:rPr>
        <w:t xml:space="preserve">Casos faro</w:t>
      </w:r>
      <w:r>
        <w:t xml:space="preserve"> </w:t>
      </w:r>
      <w:r>
        <w:t xml:space="preserve">— documentar y difundir transformaciones reales.</w:t>
      </w:r>
    </w:p>
    <w:p>
      <w:pPr>
        <w:numPr>
          <w:ilvl w:val="0"/>
          <w:numId w:val="1007"/>
        </w:numPr>
        <w:pStyle w:val="Compact"/>
      </w:pPr>
      <w:r>
        <w:rPr>
          <w:b/>
        </w:rPr>
        <w:t xml:space="preserve">Activación de KOLs</w:t>
      </w:r>
      <w:r>
        <w:t xml:space="preserve"> </w:t>
      </w:r>
      <w:r>
        <w:t xml:space="preserve">— sumar prescriptores referentes uno a uno.</w:t>
      </w:r>
    </w:p>
    <w:p>
      <w:pPr>
        <w:numPr>
          <w:ilvl w:val="0"/>
          <w:numId w:val="1008"/>
        </w:numPr>
        <w:pStyle w:val="Compact"/>
      </w:pPr>
      <w:r>
        <w:rPr>
          <w:b/>
        </w:rPr>
        <w:t xml:space="preserve">Métrica de adopción</w:t>
      </w:r>
      <w:r>
        <w:t xml:space="preserve"> </w:t>
      </w:r>
      <w:r>
        <w:t xml:space="preserve">— revisar la curva cada trimestre.</w:t>
      </w:r>
    </w:p>
    <w:p>
      <w:pPr>
        <w:numPr>
          <w:ilvl w:val="0"/>
          <w:numId w:val="1008"/>
        </w:numPr>
        <w:pStyle w:val="Compact"/>
      </w:pPr>
      <w:r>
        <w:rPr>
          <w:b/>
        </w:rPr>
        <w:t xml:space="preserve">Loop de evidencia</w:t>
      </w:r>
      <w:r>
        <w:t xml:space="preserve"> </w:t>
      </w:r>
      <w:r>
        <w:t xml:space="preserve">— cada cohorte nueva genera datos para la siguiente.</w:t>
      </w:r>
    </w:p>
    <w:p>
      <w:pPr>
        <w:pStyle w:val="FirstParagraph"/>
      </w:pPr>
      <w:r>
        <w:t xml:space="preserve">Marco: Curva de Adopción de la Innovación (Everett Rogers). Cifras y metas son placeholder — confirmar con el equipo de Flavant. Pieza hermana de la infografía "Teoría de Cambio — Flavant".</w:t>
      </w:r>
    </w:p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99201">
    <w:nsid w:val="71315dca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  <w:num w:numId="1008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Playbook — Teoría de Cambio · Flavant</dc:title>
  <dc:creator/>
  <dc:language>es</dc:language>
  <cp:keywords/>
  <dcterms:created xsi:type="dcterms:W3CDTF">2026-06-17T20:41:19Z</dcterms:created>
  <dcterms:modified xsi:type="dcterms:W3CDTF">2026-06-17T20:41:19Z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